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599C1" w14:textId="5656F1E4" w:rsidR="00FB02BF" w:rsidRPr="00B53C29" w:rsidRDefault="007B3DF8" w:rsidP="007E7F44">
      <w:pPr>
        <w:spacing w:after="0" w:line="240" w:lineRule="auto"/>
        <w:jc w:val="center"/>
        <w:rPr>
          <w:rFonts w:ascii="Times New Roman" w:eastAsia="Times New Roman" w:hAnsi="Times New Roman" w:cs="Times New Roman"/>
          <w:b/>
          <w:sz w:val="24"/>
          <w:szCs w:val="24"/>
          <w:lang w:val="ms-MY"/>
        </w:rPr>
      </w:pPr>
      <w:r w:rsidRPr="00B53C29">
        <w:rPr>
          <w:rFonts w:ascii="Times New Roman" w:eastAsia="Times New Roman" w:hAnsi="Times New Roman" w:cs="Times New Roman"/>
          <w:b/>
          <w:sz w:val="24"/>
          <w:szCs w:val="24"/>
          <w:lang w:val="ms-MY"/>
        </w:rPr>
        <w:t xml:space="preserve">PEMILIKAN MODAL SOSIAL IKATAN DALAM KALANGAN CINA MUSLIM KELANTAN </w:t>
      </w:r>
    </w:p>
    <w:p w14:paraId="608A8A9F" w14:textId="13F56E4D" w:rsidR="007B3DF8" w:rsidRPr="00B53C29" w:rsidRDefault="007B3DF8" w:rsidP="007E7F44">
      <w:pPr>
        <w:spacing w:after="0" w:line="240" w:lineRule="auto"/>
        <w:jc w:val="center"/>
        <w:rPr>
          <w:rFonts w:ascii="Times New Roman" w:eastAsia="Times New Roman" w:hAnsi="Times New Roman" w:cs="Times New Roman"/>
          <w:b/>
          <w:sz w:val="24"/>
          <w:szCs w:val="24"/>
          <w:lang w:val="ms-MY"/>
        </w:rPr>
      </w:pPr>
    </w:p>
    <w:p w14:paraId="49952CB4" w14:textId="28CF9FAB" w:rsidR="007B3DF8" w:rsidRPr="00B53C29" w:rsidRDefault="007B3DF8" w:rsidP="007E7F44">
      <w:pPr>
        <w:spacing w:after="0" w:line="240" w:lineRule="auto"/>
        <w:jc w:val="center"/>
        <w:rPr>
          <w:rFonts w:ascii="Times New Roman" w:eastAsia="Times New Roman" w:hAnsi="Times New Roman" w:cs="Times New Roman"/>
          <w:b/>
          <w:sz w:val="24"/>
          <w:szCs w:val="24"/>
          <w:lang w:val="ms-MY"/>
        </w:rPr>
      </w:pPr>
      <w:r w:rsidRPr="00B53C29">
        <w:rPr>
          <w:rFonts w:ascii="Times New Roman" w:eastAsia="Times New Roman" w:hAnsi="Times New Roman" w:cs="Times New Roman"/>
          <w:b/>
          <w:sz w:val="24"/>
          <w:szCs w:val="24"/>
          <w:lang w:val="ms-MY"/>
        </w:rPr>
        <w:t>[BONDING SOCIAL CAPITAL POSESSION AMONG KELANTAN CHINESE MUSLIM]</w:t>
      </w:r>
    </w:p>
    <w:p w14:paraId="09C1D8DD" w14:textId="77777777" w:rsidR="00701EB5" w:rsidRPr="00B53C29" w:rsidRDefault="00701EB5" w:rsidP="007E7F44">
      <w:pPr>
        <w:spacing w:after="0" w:line="240" w:lineRule="auto"/>
        <w:jc w:val="center"/>
        <w:rPr>
          <w:rFonts w:ascii="Times New Roman" w:eastAsia="Times New Roman" w:hAnsi="Times New Roman" w:cs="Times New Roman"/>
          <w:sz w:val="24"/>
          <w:szCs w:val="24"/>
          <w:lang w:val="ms-MY"/>
        </w:rPr>
      </w:pPr>
    </w:p>
    <w:p w14:paraId="4F5D422B" w14:textId="42B5D7AA" w:rsidR="00DA0BC5" w:rsidRPr="00B53C29" w:rsidRDefault="00701EB5" w:rsidP="007E7F44">
      <w:pPr>
        <w:spacing w:after="0" w:line="240" w:lineRule="auto"/>
        <w:jc w:val="center"/>
        <w:rPr>
          <w:rFonts w:asciiTheme="majorBidi" w:eastAsia="Times New Roman" w:hAnsiTheme="majorBidi" w:cs="Times New Roman"/>
          <w:sz w:val="24"/>
          <w:szCs w:val="24"/>
          <w:lang w:val="ms-MY"/>
        </w:rPr>
      </w:pPr>
      <w:r w:rsidRPr="00B53C29">
        <w:rPr>
          <w:rFonts w:asciiTheme="majorBidi" w:eastAsia="Times New Roman" w:hAnsiTheme="majorBidi" w:cs="Times New Roman"/>
          <w:sz w:val="24"/>
          <w:szCs w:val="24"/>
          <w:vertAlign w:val="superscript"/>
          <w:lang w:val="ms-MY"/>
        </w:rPr>
        <w:t>*1</w:t>
      </w:r>
      <w:r w:rsidR="007B3DF8" w:rsidRPr="00B53C29">
        <w:rPr>
          <w:rFonts w:asciiTheme="majorBidi" w:eastAsia="Times New Roman" w:hAnsiTheme="majorBidi" w:cs="Times New Roman"/>
          <w:sz w:val="24"/>
          <w:szCs w:val="24"/>
          <w:lang w:val="ms-MY"/>
        </w:rPr>
        <w:t xml:space="preserve">Adi Syahid </w:t>
      </w:r>
      <w:r w:rsidR="00A95EF8">
        <w:rPr>
          <w:rFonts w:asciiTheme="majorBidi" w:eastAsia="Times New Roman" w:hAnsiTheme="majorBidi" w:cs="Times New Roman"/>
          <w:sz w:val="24"/>
          <w:szCs w:val="24"/>
          <w:lang w:val="ms-MY"/>
        </w:rPr>
        <w:t xml:space="preserve">M.A </w:t>
      </w:r>
      <w:r w:rsidR="007B3DF8" w:rsidRPr="00B53C29">
        <w:rPr>
          <w:rFonts w:asciiTheme="majorBidi" w:eastAsia="Times New Roman" w:hAnsiTheme="majorBidi" w:cs="Times New Roman"/>
          <w:sz w:val="24"/>
          <w:szCs w:val="24"/>
          <w:lang w:val="ms-MY"/>
        </w:rPr>
        <w:t xml:space="preserve">&amp; </w:t>
      </w:r>
      <w:r w:rsidRPr="00B53C29">
        <w:rPr>
          <w:rFonts w:asciiTheme="majorBidi" w:eastAsia="Times New Roman" w:hAnsiTheme="majorBidi" w:cs="Times New Roman"/>
          <w:sz w:val="24"/>
          <w:szCs w:val="24"/>
          <w:vertAlign w:val="superscript"/>
          <w:lang w:val="ms-MY"/>
        </w:rPr>
        <w:t>2</w:t>
      </w:r>
      <w:r w:rsidR="007B3DF8" w:rsidRPr="00B53C29">
        <w:rPr>
          <w:rFonts w:asciiTheme="majorBidi" w:eastAsia="Times New Roman" w:hAnsiTheme="majorBidi" w:cs="Times New Roman"/>
          <w:sz w:val="24"/>
          <w:szCs w:val="24"/>
          <w:lang w:val="ms-MY"/>
        </w:rPr>
        <w:t>W.A Amir Zal</w:t>
      </w:r>
      <w:r w:rsidRPr="00B53C29">
        <w:rPr>
          <w:rFonts w:asciiTheme="majorBidi" w:eastAsia="Times New Roman" w:hAnsiTheme="majorBidi" w:cs="Times New Roman"/>
          <w:sz w:val="24"/>
          <w:szCs w:val="24"/>
          <w:lang w:val="ms-MY"/>
        </w:rPr>
        <w:t xml:space="preserve"> </w:t>
      </w:r>
    </w:p>
    <w:p w14:paraId="48F9AB91" w14:textId="77777777" w:rsidR="00434700" w:rsidRPr="00B53C29" w:rsidRDefault="00434700" w:rsidP="007E7F44">
      <w:pPr>
        <w:spacing w:after="0" w:line="240" w:lineRule="auto"/>
        <w:jc w:val="center"/>
        <w:rPr>
          <w:rFonts w:asciiTheme="majorBidi" w:eastAsia="Times New Roman" w:hAnsiTheme="majorBidi" w:cs="Times New Roman"/>
          <w:sz w:val="24"/>
          <w:szCs w:val="24"/>
          <w:lang w:val="ms-MY"/>
        </w:rPr>
      </w:pPr>
    </w:p>
    <w:p w14:paraId="47C039FF" w14:textId="1B78885D" w:rsidR="00DA0BC5" w:rsidRPr="00B53C29" w:rsidRDefault="00DA0BC5" w:rsidP="005449AA">
      <w:pPr>
        <w:spacing w:after="0" w:line="240" w:lineRule="auto"/>
        <w:jc w:val="center"/>
        <w:rPr>
          <w:rFonts w:asciiTheme="majorBidi" w:eastAsia="Times New Roman" w:hAnsiTheme="majorBidi" w:cs="Times New Roman"/>
          <w:sz w:val="24"/>
          <w:szCs w:val="24"/>
          <w:lang w:val="ms-MY"/>
        </w:rPr>
      </w:pPr>
      <w:r w:rsidRPr="00B53C29">
        <w:rPr>
          <w:rFonts w:asciiTheme="majorBidi" w:eastAsia="Times New Roman" w:hAnsiTheme="majorBidi" w:cs="Times New Roman"/>
          <w:sz w:val="24"/>
          <w:szCs w:val="24"/>
          <w:vertAlign w:val="superscript"/>
          <w:lang w:val="ms-MY"/>
        </w:rPr>
        <w:t xml:space="preserve">1 </w:t>
      </w:r>
      <w:r w:rsidR="007B3DF8" w:rsidRPr="00B53C29">
        <w:rPr>
          <w:rFonts w:asciiTheme="majorBidi" w:eastAsia="Times New Roman" w:hAnsiTheme="majorBidi" w:cs="Times New Roman"/>
          <w:sz w:val="24"/>
          <w:szCs w:val="24"/>
          <w:lang w:val="ms-MY"/>
        </w:rPr>
        <w:t xml:space="preserve">Pusat Pengajian Pembangunan Sosial dan Ekonomi, Universiti Malaysia Terengganu, </w:t>
      </w:r>
      <w:r w:rsidR="00B059B4" w:rsidRPr="00B53C29">
        <w:rPr>
          <w:rFonts w:asciiTheme="majorBidi" w:eastAsia="Times New Roman" w:hAnsiTheme="majorBidi" w:cs="Times New Roman"/>
          <w:sz w:val="24"/>
          <w:szCs w:val="24"/>
          <w:lang w:val="ms-MY"/>
        </w:rPr>
        <w:t xml:space="preserve">21300 Kuala </w:t>
      </w:r>
      <w:r w:rsidR="005449AA" w:rsidRPr="00B53C29">
        <w:rPr>
          <w:rFonts w:asciiTheme="majorBidi" w:eastAsia="Times New Roman" w:hAnsiTheme="majorBidi" w:cs="Times New Roman"/>
          <w:sz w:val="24"/>
          <w:szCs w:val="24"/>
          <w:lang w:val="ms-MY"/>
        </w:rPr>
        <w:t>Nerus</w:t>
      </w:r>
      <w:r w:rsidR="00B059B4" w:rsidRPr="00B53C29">
        <w:rPr>
          <w:rFonts w:asciiTheme="majorBidi" w:eastAsia="Times New Roman" w:hAnsiTheme="majorBidi" w:cs="Times New Roman"/>
          <w:sz w:val="24"/>
          <w:szCs w:val="24"/>
          <w:lang w:val="ms-MY"/>
        </w:rPr>
        <w:t xml:space="preserve">, Terengganu, </w:t>
      </w:r>
      <w:r w:rsidR="00165A31" w:rsidRPr="00B53C29">
        <w:rPr>
          <w:rFonts w:asciiTheme="majorBidi" w:eastAsia="Times New Roman" w:hAnsiTheme="majorBidi" w:cs="Times New Roman"/>
          <w:sz w:val="24"/>
          <w:szCs w:val="24"/>
          <w:lang w:val="ms-MY"/>
        </w:rPr>
        <w:t>Malaysia</w:t>
      </w:r>
    </w:p>
    <w:p w14:paraId="347DC554" w14:textId="3A0DFDF7" w:rsidR="00DA0BC5" w:rsidRPr="00B53C29" w:rsidRDefault="00DA0BC5" w:rsidP="007E7F44">
      <w:pPr>
        <w:spacing w:after="0" w:line="240" w:lineRule="auto"/>
        <w:jc w:val="center"/>
        <w:rPr>
          <w:rFonts w:asciiTheme="majorBidi" w:eastAsia="Times New Roman" w:hAnsiTheme="majorBidi" w:cs="Times New Roman"/>
          <w:sz w:val="24"/>
          <w:szCs w:val="24"/>
          <w:lang w:val="ms-MY"/>
        </w:rPr>
      </w:pPr>
      <w:r w:rsidRPr="00B53C29">
        <w:rPr>
          <w:rFonts w:asciiTheme="majorBidi" w:eastAsia="Times New Roman" w:hAnsiTheme="majorBidi" w:cs="Times New Roman"/>
          <w:sz w:val="24"/>
          <w:szCs w:val="24"/>
          <w:vertAlign w:val="superscript"/>
          <w:lang w:val="ms-MY"/>
        </w:rPr>
        <w:t xml:space="preserve">2 </w:t>
      </w:r>
      <w:r w:rsidR="007B3DF8" w:rsidRPr="00B53C29">
        <w:rPr>
          <w:rFonts w:asciiTheme="majorBidi" w:eastAsia="Times New Roman" w:hAnsiTheme="majorBidi" w:cs="Times New Roman"/>
          <w:sz w:val="24"/>
          <w:szCs w:val="24"/>
          <w:lang w:val="ms-MY"/>
        </w:rPr>
        <w:t xml:space="preserve">Pusat Bahasa dan Pembangunan Insaniah, Universiti Malaysia Kelantan, Bachok, Kelantan, Malaysia </w:t>
      </w:r>
    </w:p>
    <w:p w14:paraId="1CBE5C54" w14:textId="7827C75D" w:rsidR="007B3DF8" w:rsidRPr="00B53C29" w:rsidRDefault="00DA0BC5" w:rsidP="007B3DF8">
      <w:pPr>
        <w:spacing w:after="0" w:line="240" w:lineRule="auto"/>
        <w:jc w:val="center"/>
        <w:rPr>
          <w:rFonts w:asciiTheme="majorBidi" w:eastAsia="Times New Roman" w:hAnsiTheme="majorBidi" w:cs="Times New Roman"/>
          <w:sz w:val="24"/>
          <w:szCs w:val="24"/>
          <w:lang w:val="ms-MY"/>
        </w:rPr>
      </w:pPr>
      <w:bookmarkStart w:id="0" w:name="_GoBack"/>
      <w:r w:rsidRPr="00B53C29">
        <w:rPr>
          <w:rFonts w:asciiTheme="majorBidi" w:eastAsia="Times New Roman" w:hAnsiTheme="majorBidi" w:cs="Times New Roman"/>
          <w:sz w:val="24"/>
          <w:szCs w:val="24"/>
          <w:lang w:val="ms-MY"/>
        </w:rPr>
        <w:t xml:space="preserve">*Corresponding author: </w:t>
      </w:r>
      <w:hyperlink r:id="rId8" w:history="1">
        <w:r w:rsidR="007B3DF8" w:rsidRPr="00B53C29">
          <w:rPr>
            <w:rStyle w:val="Hyperlink"/>
            <w:rFonts w:asciiTheme="majorBidi" w:eastAsia="Times New Roman" w:hAnsiTheme="majorBidi" w:cs="Times New Roman"/>
            <w:sz w:val="24"/>
            <w:szCs w:val="24"/>
            <w:lang w:val="ms-MY"/>
          </w:rPr>
          <w:t>adisyahid@gmail.com</w:t>
        </w:r>
      </w:hyperlink>
    </w:p>
    <w:bookmarkEnd w:id="0"/>
    <w:p w14:paraId="6FA8B37E" w14:textId="77777777" w:rsidR="00AD5B56" w:rsidRPr="00B53C29" w:rsidRDefault="00AD5B56" w:rsidP="007E7F44">
      <w:pPr>
        <w:spacing w:after="0" w:line="240" w:lineRule="auto"/>
        <w:jc w:val="center"/>
        <w:rPr>
          <w:rFonts w:ascii="Times New Roman" w:eastAsia="Times New Roman" w:hAnsi="Times New Roman" w:cs="Times New Roman"/>
          <w:b/>
          <w:sz w:val="24"/>
          <w:szCs w:val="24"/>
          <w:lang w:val="ms-MY"/>
        </w:rPr>
      </w:pPr>
    </w:p>
    <w:p w14:paraId="4DE0A334" w14:textId="3BCAF680" w:rsidR="00083B6E" w:rsidRDefault="00765803" w:rsidP="007E7F44">
      <w:pPr>
        <w:pStyle w:val="Heading1"/>
        <w:spacing w:before="0" w:after="0"/>
        <w:jc w:val="center"/>
        <w:rPr>
          <w:rFonts w:asciiTheme="majorBidi" w:hAnsiTheme="majorBidi" w:cstheme="majorBidi"/>
          <w:sz w:val="22"/>
          <w:szCs w:val="22"/>
          <w:lang w:val="ms-MY"/>
        </w:rPr>
      </w:pPr>
      <w:r w:rsidRPr="00B53C29">
        <w:rPr>
          <w:rFonts w:asciiTheme="majorBidi" w:hAnsiTheme="majorBidi" w:cstheme="majorBidi"/>
          <w:sz w:val="22"/>
          <w:szCs w:val="22"/>
          <w:lang w:val="ms-MY"/>
        </w:rPr>
        <w:t>ABSTRACT</w:t>
      </w:r>
    </w:p>
    <w:p w14:paraId="745F715A" w14:textId="77777777" w:rsidR="00A600E4" w:rsidRPr="00A600E4" w:rsidRDefault="00A600E4" w:rsidP="00A600E4">
      <w:pPr>
        <w:rPr>
          <w:lang w:val="ms-MY"/>
        </w:rPr>
      </w:pPr>
    </w:p>
    <w:p w14:paraId="56DDE231" w14:textId="2C54FE92" w:rsidR="00A600E4" w:rsidRDefault="007507BC" w:rsidP="00A51710">
      <w:pPr>
        <w:spacing w:after="0" w:line="360" w:lineRule="auto"/>
        <w:jc w:val="both"/>
        <w:rPr>
          <w:rFonts w:asciiTheme="majorBidi" w:eastAsia="Times New Roman" w:hAnsiTheme="majorBidi" w:cstheme="majorBidi"/>
          <w:bCs/>
          <w:i/>
          <w:iCs/>
          <w:lang w:val="en-GB"/>
        </w:rPr>
      </w:pPr>
      <w:r w:rsidRPr="00A600E4">
        <w:rPr>
          <w:rFonts w:asciiTheme="majorBidi" w:eastAsia="Times New Roman" w:hAnsiTheme="majorBidi" w:cstheme="majorBidi"/>
          <w:bCs/>
          <w:i/>
          <w:iCs/>
          <w:lang w:val="en-GB"/>
        </w:rPr>
        <w:t>This paper</w:t>
      </w:r>
      <w:r w:rsidR="00386963" w:rsidRPr="00A600E4">
        <w:rPr>
          <w:rFonts w:asciiTheme="majorBidi" w:eastAsia="Times New Roman" w:hAnsiTheme="majorBidi" w:cstheme="majorBidi"/>
          <w:bCs/>
          <w:i/>
          <w:iCs/>
          <w:lang w:val="en-GB"/>
        </w:rPr>
        <w:t xml:space="preserve"> focuses on bonding social capital </w:t>
      </w:r>
      <w:r w:rsidR="00A600E4">
        <w:rPr>
          <w:rFonts w:asciiTheme="majorBidi" w:eastAsia="Times New Roman" w:hAnsiTheme="majorBidi" w:cstheme="majorBidi"/>
          <w:bCs/>
          <w:i/>
          <w:iCs/>
          <w:lang w:val="en-GB"/>
        </w:rPr>
        <w:t xml:space="preserve">possession </w:t>
      </w:r>
      <w:r w:rsidR="00386963" w:rsidRPr="00A600E4">
        <w:rPr>
          <w:rFonts w:asciiTheme="majorBidi" w:eastAsia="Times New Roman" w:hAnsiTheme="majorBidi" w:cstheme="majorBidi"/>
          <w:bCs/>
          <w:i/>
          <w:iCs/>
          <w:lang w:val="en-GB"/>
        </w:rPr>
        <w:t>among Chinese Muslim in Kelantan. Chinese Muslim</w:t>
      </w:r>
      <w:r w:rsidR="00A600E4" w:rsidRPr="00A600E4">
        <w:rPr>
          <w:rFonts w:asciiTheme="majorBidi" w:eastAsia="Times New Roman" w:hAnsiTheme="majorBidi" w:cstheme="majorBidi"/>
          <w:bCs/>
          <w:i/>
          <w:iCs/>
          <w:lang w:val="en-GB"/>
        </w:rPr>
        <w:t xml:space="preserve"> community seems to have conflicts in their bonding social capital. </w:t>
      </w:r>
      <w:r w:rsidR="00A600E4">
        <w:rPr>
          <w:rFonts w:asciiTheme="majorBidi" w:eastAsia="Times New Roman" w:hAnsiTheme="majorBidi" w:cstheme="majorBidi"/>
          <w:bCs/>
          <w:i/>
          <w:iCs/>
          <w:lang w:val="en-GB"/>
        </w:rPr>
        <w:t xml:space="preserve">Bonding social capital refers to relationships Chinese Muslim community with their non-Muslim family. </w:t>
      </w:r>
      <w:r w:rsidR="00A600E4" w:rsidRPr="00A600E4">
        <w:rPr>
          <w:rFonts w:asciiTheme="majorBidi" w:eastAsia="Times New Roman" w:hAnsiTheme="majorBidi" w:cstheme="majorBidi"/>
          <w:bCs/>
          <w:i/>
          <w:iCs/>
          <w:lang w:val="en-GB"/>
        </w:rPr>
        <w:t>This research was carried out using the sequential explanatory mixed method design involving the Kelantan Chinese Muslim community with 75 respondents selected for quantitative and five respondents for qualitative research methods. The sampling method adopted was convenience and snowball samplings. The research data was collected using questionnaires and semi structured interviews.</w:t>
      </w:r>
      <w:r w:rsidR="00A33679">
        <w:rPr>
          <w:rFonts w:asciiTheme="majorBidi" w:eastAsia="Times New Roman" w:hAnsiTheme="majorBidi" w:cstheme="majorBidi"/>
          <w:bCs/>
          <w:i/>
          <w:iCs/>
          <w:lang w:val="en-GB"/>
        </w:rPr>
        <w:t xml:space="preserve"> The findings show that bonding social capital are intimate before convert to Islam and change to moderately intimate after they convert to Islam. Other than that, the findings confirm that there are significant differences between social capital possession before and after convert to Islam and no significant different for the bonding social capital possession based on period the convert they convert to Islam. </w:t>
      </w:r>
      <w:r w:rsidR="00AD5473">
        <w:rPr>
          <w:rFonts w:asciiTheme="majorBidi" w:eastAsia="Times New Roman" w:hAnsiTheme="majorBidi" w:cstheme="majorBidi"/>
          <w:bCs/>
          <w:i/>
          <w:iCs/>
          <w:lang w:val="en-GB"/>
        </w:rPr>
        <w:t xml:space="preserve">Qualitative study confirms the differences in Chinese Muslim bonding social capital but verify that bonding social capital possession not caused by conflict after conversion but they create a boundary with their bonding social capital and fragile their bonding social capital. Thus, effort to enhancing bonding social capital </w:t>
      </w:r>
      <w:r w:rsidR="00914B65">
        <w:rPr>
          <w:rFonts w:asciiTheme="majorBidi" w:eastAsia="Times New Roman" w:hAnsiTheme="majorBidi" w:cstheme="majorBidi"/>
          <w:bCs/>
          <w:i/>
          <w:iCs/>
          <w:lang w:val="en-GB"/>
        </w:rPr>
        <w:t xml:space="preserve">capacity </w:t>
      </w:r>
      <w:r w:rsidR="00AD5473">
        <w:rPr>
          <w:rFonts w:asciiTheme="majorBidi" w:eastAsia="Times New Roman" w:hAnsiTheme="majorBidi" w:cstheme="majorBidi"/>
          <w:bCs/>
          <w:i/>
          <w:iCs/>
          <w:lang w:val="en-GB"/>
        </w:rPr>
        <w:t xml:space="preserve">must be made and not letting the differences in religion become an obstacle to continuous relationship between Chinese Muslim and </w:t>
      </w:r>
      <w:r w:rsidR="00914B65">
        <w:rPr>
          <w:rFonts w:asciiTheme="majorBidi" w:eastAsia="Times New Roman" w:hAnsiTheme="majorBidi" w:cstheme="majorBidi"/>
          <w:bCs/>
          <w:i/>
          <w:iCs/>
          <w:lang w:val="en-GB"/>
        </w:rPr>
        <w:t xml:space="preserve">their non-Muslim family. </w:t>
      </w:r>
    </w:p>
    <w:p w14:paraId="6DFDA9AD" w14:textId="77777777" w:rsidR="00A600E4" w:rsidRDefault="00A600E4" w:rsidP="007E7F44">
      <w:pPr>
        <w:spacing w:after="0" w:line="240" w:lineRule="auto"/>
        <w:jc w:val="both"/>
        <w:rPr>
          <w:rFonts w:asciiTheme="majorBidi" w:eastAsia="Times New Roman" w:hAnsiTheme="majorBidi" w:cstheme="majorBidi"/>
          <w:bCs/>
          <w:i/>
          <w:iCs/>
          <w:lang w:val="ms-MY"/>
        </w:rPr>
      </w:pPr>
    </w:p>
    <w:p w14:paraId="37699240" w14:textId="77777777" w:rsidR="007507BC" w:rsidRPr="00914B65" w:rsidRDefault="007507BC" w:rsidP="007E7F44">
      <w:pPr>
        <w:spacing w:after="0" w:line="240" w:lineRule="auto"/>
        <w:jc w:val="both"/>
        <w:rPr>
          <w:rFonts w:asciiTheme="majorBidi" w:eastAsia="Times New Roman" w:hAnsiTheme="majorBidi" w:cstheme="majorBidi"/>
          <w:bCs/>
          <w:i/>
          <w:iCs/>
          <w:sz w:val="20"/>
          <w:lang w:val="en-GB"/>
        </w:rPr>
      </w:pPr>
    </w:p>
    <w:p w14:paraId="6C34E344" w14:textId="4DCD5D18" w:rsidR="00914B65" w:rsidRPr="00914B65" w:rsidRDefault="003C4829" w:rsidP="00914B65">
      <w:pPr>
        <w:spacing w:after="0" w:line="240" w:lineRule="auto"/>
        <w:jc w:val="both"/>
        <w:rPr>
          <w:rFonts w:asciiTheme="majorBidi" w:eastAsia="Times New Roman" w:hAnsiTheme="majorBidi" w:cstheme="majorBidi"/>
          <w:bCs/>
          <w:sz w:val="20"/>
          <w:lang w:val="en-GB"/>
        </w:rPr>
      </w:pPr>
      <w:r w:rsidRPr="00914B65">
        <w:rPr>
          <w:rFonts w:asciiTheme="majorBidi" w:eastAsia="Times New Roman" w:hAnsiTheme="majorBidi" w:cstheme="majorBidi"/>
          <w:b/>
          <w:sz w:val="20"/>
          <w:lang w:val="en-GB"/>
        </w:rPr>
        <w:t>Keywords:</w:t>
      </w:r>
      <w:r w:rsidRPr="00914B65">
        <w:rPr>
          <w:rFonts w:asciiTheme="majorBidi" w:eastAsia="Times New Roman" w:hAnsiTheme="majorBidi" w:cstheme="majorBidi"/>
          <w:bCs/>
          <w:sz w:val="20"/>
          <w:lang w:val="en-GB"/>
        </w:rPr>
        <w:t xml:space="preserve"> </w:t>
      </w:r>
      <w:r w:rsidR="00914B65" w:rsidRPr="00914B65">
        <w:rPr>
          <w:rFonts w:asciiTheme="majorBidi" w:eastAsia="Times New Roman" w:hAnsiTheme="majorBidi" w:cstheme="majorBidi"/>
          <w:bCs/>
          <w:sz w:val="20"/>
          <w:lang w:val="en-GB"/>
        </w:rPr>
        <w:t>Social capital</w:t>
      </w:r>
      <w:r w:rsidR="00165A31" w:rsidRPr="00914B65">
        <w:rPr>
          <w:rFonts w:asciiTheme="majorBidi" w:eastAsia="Times New Roman" w:hAnsiTheme="majorBidi" w:cstheme="majorBidi"/>
          <w:bCs/>
          <w:sz w:val="20"/>
          <w:lang w:val="en-GB"/>
        </w:rPr>
        <w:t>,</w:t>
      </w:r>
      <w:r w:rsidR="00914B65" w:rsidRPr="00914B65">
        <w:rPr>
          <w:rFonts w:asciiTheme="majorBidi" w:eastAsia="Times New Roman" w:hAnsiTheme="majorBidi" w:cstheme="majorBidi"/>
          <w:bCs/>
          <w:sz w:val="20"/>
          <w:lang w:val="en-GB"/>
        </w:rPr>
        <w:t xml:space="preserve"> Bonding social capital, Chinese Muslim community, capacity, possession </w:t>
      </w:r>
    </w:p>
    <w:p w14:paraId="7A6140FB" w14:textId="1A15760E" w:rsidR="00914B65" w:rsidRDefault="00914B65" w:rsidP="00914B65">
      <w:pPr>
        <w:spacing w:after="0" w:line="240" w:lineRule="auto"/>
        <w:jc w:val="both"/>
        <w:rPr>
          <w:rFonts w:asciiTheme="majorBidi" w:eastAsiaTheme="majorEastAsia" w:hAnsiTheme="majorBidi" w:cstheme="majorBidi"/>
          <w:b/>
          <w:bCs/>
          <w:sz w:val="24"/>
          <w:szCs w:val="28"/>
          <w:lang w:val="ms-MY"/>
        </w:rPr>
      </w:pPr>
    </w:p>
    <w:p w14:paraId="445EBF3E" w14:textId="77777777" w:rsidR="001224B2" w:rsidRDefault="001224B2" w:rsidP="00914B65">
      <w:pPr>
        <w:spacing w:after="0" w:line="240" w:lineRule="auto"/>
        <w:jc w:val="both"/>
        <w:rPr>
          <w:rFonts w:asciiTheme="majorBidi" w:eastAsiaTheme="majorEastAsia" w:hAnsiTheme="majorBidi" w:cstheme="majorBidi"/>
          <w:b/>
          <w:bCs/>
          <w:sz w:val="24"/>
          <w:szCs w:val="28"/>
          <w:lang w:val="ms-MY"/>
        </w:rPr>
      </w:pPr>
    </w:p>
    <w:p w14:paraId="6623D9CC" w14:textId="634D4048" w:rsidR="00D405ED" w:rsidRPr="00B53C29" w:rsidRDefault="00B070CE" w:rsidP="00914B65">
      <w:pPr>
        <w:spacing w:after="0" w:line="240" w:lineRule="auto"/>
        <w:jc w:val="both"/>
        <w:rPr>
          <w:rFonts w:asciiTheme="majorBidi" w:eastAsiaTheme="majorEastAsia" w:hAnsiTheme="majorBidi" w:cstheme="majorBidi"/>
          <w:b/>
          <w:bCs/>
          <w:sz w:val="24"/>
          <w:szCs w:val="28"/>
          <w:lang w:val="ms-MY"/>
        </w:rPr>
      </w:pPr>
      <w:r>
        <w:rPr>
          <w:rFonts w:asciiTheme="majorBidi" w:eastAsiaTheme="majorEastAsia" w:hAnsiTheme="majorBidi" w:cstheme="majorBidi"/>
          <w:b/>
          <w:bCs/>
          <w:sz w:val="24"/>
          <w:szCs w:val="28"/>
          <w:lang w:val="ms-MY"/>
        </w:rPr>
        <w:t xml:space="preserve">1.0 </w:t>
      </w:r>
      <w:r w:rsidR="001224B2">
        <w:rPr>
          <w:rFonts w:asciiTheme="majorBidi" w:eastAsiaTheme="majorEastAsia" w:hAnsiTheme="majorBidi" w:cstheme="majorBidi"/>
          <w:b/>
          <w:bCs/>
          <w:sz w:val="24"/>
          <w:szCs w:val="28"/>
          <w:lang w:val="ms-MY"/>
        </w:rPr>
        <w:t xml:space="preserve">PENGENALAN </w:t>
      </w:r>
    </w:p>
    <w:p w14:paraId="59EE4D4A" w14:textId="77777777" w:rsidR="00E81F15" w:rsidRPr="00B53C29" w:rsidRDefault="00E81F15" w:rsidP="00E81F15">
      <w:pPr>
        <w:spacing w:after="0" w:line="240" w:lineRule="auto"/>
        <w:jc w:val="both"/>
        <w:rPr>
          <w:rFonts w:asciiTheme="majorBidi" w:eastAsia="Times New Roman" w:hAnsiTheme="majorBidi" w:cs="Times New Roman"/>
          <w:sz w:val="24"/>
          <w:szCs w:val="24"/>
          <w:lang w:val="ms-MY"/>
        </w:rPr>
      </w:pPr>
    </w:p>
    <w:p w14:paraId="24193FFC" w14:textId="36300BE7" w:rsidR="001224B2" w:rsidRDefault="00E81F15" w:rsidP="00A51710">
      <w:pPr>
        <w:spacing w:after="0" w:line="360" w:lineRule="auto"/>
        <w:jc w:val="both"/>
        <w:rPr>
          <w:rFonts w:asciiTheme="majorBidi" w:eastAsia="Times New Roman" w:hAnsiTheme="majorBidi" w:cs="Times New Roman"/>
          <w:sz w:val="24"/>
          <w:szCs w:val="24"/>
          <w:lang w:val="ms-MY"/>
        </w:rPr>
      </w:pPr>
      <w:r w:rsidRPr="00B53C29">
        <w:rPr>
          <w:rFonts w:asciiTheme="majorBidi" w:eastAsia="Times New Roman" w:hAnsiTheme="majorBidi" w:cs="Times New Roman"/>
          <w:sz w:val="24"/>
          <w:szCs w:val="24"/>
          <w:lang w:val="ms-MY"/>
        </w:rPr>
        <w:t>Cina Muslim merupakan etnik Cina yang lahir dan membesar di Malaysia dan menukarkan agama mereka kepada agama Islam pada satu titik dalam kehidupan mereka (Lam, 2005). Komuniti ini merupakan komuniti yang terbesar melakukan konversi kepada agama Islam di Malaysia (Osman Chuah &amp; Abdul Salam, 2008).</w:t>
      </w:r>
      <w:r w:rsidR="001224B2">
        <w:rPr>
          <w:rFonts w:asciiTheme="majorBidi" w:eastAsia="Times New Roman" w:hAnsiTheme="majorBidi" w:cs="Times New Roman"/>
          <w:sz w:val="24"/>
          <w:szCs w:val="24"/>
          <w:lang w:val="ms-MY"/>
        </w:rPr>
        <w:t xml:space="preserve"> Walaupun begitu, konversi agama telah menyebabkan mereka berhadapan dengan </w:t>
      </w:r>
      <w:r w:rsidRPr="00B53C29">
        <w:rPr>
          <w:rFonts w:asciiTheme="majorBidi" w:eastAsia="Times New Roman" w:hAnsiTheme="majorBidi" w:cs="Times New Roman"/>
          <w:sz w:val="24"/>
          <w:szCs w:val="24"/>
          <w:lang w:val="ms-MY"/>
        </w:rPr>
        <w:t xml:space="preserve">konflik </w:t>
      </w:r>
      <w:r w:rsidR="001224B2">
        <w:rPr>
          <w:rFonts w:asciiTheme="majorBidi" w:eastAsia="Times New Roman" w:hAnsiTheme="majorBidi" w:cs="Times New Roman"/>
          <w:sz w:val="24"/>
          <w:szCs w:val="24"/>
          <w:lang w:val="ms-MY"/>
        </w:rPr>
        <w:t xml:space="preserve">hubungan </w:t>
      </w:r>
      <w:r w:rsidRPr="00B53C29">
        <w:rPr>
          <w:rFonts w:asciiTheme="majorBidi" w:eastAsia="Times New Roman" w:hAnsiTheme="majorBidi" w:cs="Times New Roman"/>
          <w:sz w:val="24"/>
          <w:szCs w:val="24"/>
          <w:lang w:val="ms-MY"/>
        </w:rPr>
        <w:t xml:space="preserve">yang </w:t>
      </w:r>
      <w:r w:rsidR="001224B2">
        <w:rPr>
          <w:rFonts w:asciiTheme="majorBidi" w:eastAsia="Times New Roman" w:hAnsiTheme="majorBidi" w:cs="Times New Roman"/>
          <w:sz w:val="24"/>
          <w:szCs w:val="24"/>
          <w:lang w:val="ms-MY"/>
        </w:rPr>
        <w:t xml:space="preserve">mengubah </w:t>
      </w:r>
      <w:r w:rsidRPr="00B53C29">
        <w:rPr>
          <w:rFonts w:asciiTheme="majorBidi" w:eastAsia="Times New Roman" w:hAnsiTheme="majorBidi" w:cs="Times New Roman"/>
          <w:sz w:val="24"/>
          <w:szCs w:val="24"/>
          <w:lang w:val="ms-MY"/>
        </w:rPr>
        <w:t xml:space="preserve">realiti </w:t>
      </w:r>
      <w:r w:rsidR="001224B2">
        <w:rPr>
          <w:rFonts w:asciiTheme="majorBidi" w:eastAsia="Times New Roman" w:hAnsiTheme="majorBidi" w:cs="Times New Roman"/>
          <w:sz w:val="24"/>
          <w:szCs w:val="24"/>
          <w:lang w:val="ms-MY"/>
        </w:rPr>
        <w:t xml:space="preserve">hubungan </w:t>
      </w:r>
      <w:r w:rsidRPr="00B53C29">
        <w:rPr>
          <w:rFonts w:asciiTheme="majorBidi" w:eastAsia="Times New Roman" w:hAnsiTheme="majorBidi" w:cs="Times New Roman"/>
          <w:sz w:val="24"/>
          <w:szCs w:val="24"/>
          <w:lang w:val="ms-MY"/>
        </w:rPr>
        <w:t>sosial mereka</w:t>
      </w:r>
      <w:r w:rsidR="001224B2">
        <w:rPr>
          <w:rFonts w:asciiTheme="majorBidi" w:eastAsia="Times New Roman" w:hAnsiTheme="majorBidi" w:cs="Times New Roman"/>
          <w:sz w:val="24"/>
          <w:szCs w:val="24"/>
          <w:lang w:val="ms-MY"/>
        </w:rPr>
        <w:t xml:space="preserve"> terutamanya dengan keluarga asal yang bukan beragama Islam</w:t>
      </w:r>
      <w:r w:rsidRPr="00B53C29">
        <w:rPr>
          <w:rFonts w:asciiTheme="majorBidi" w:eastAsia="Times New Roman" w:hAnsiTheme="majorBidi" w:cs="Times New Roman"/>
          <w:sz w:val="24"/>
          <w:szCs w:val="24"/>
          <w:lang w:val="ms-MY"/>
        </w:rPr>
        <w:t xml:space="preserve">. </w:t>
      </w:r>
    </w:p>
    <w:p w14:paraId="2644A0B5" w14:textId="70987552" w:rsidR="003802EA" w:rsidRDefault="003802EA" w:rsidP="00A51710">
      <w:pPr>
        <w:spacing w:after="0" w:line="360" w:lineRule="auto"/>
        <w:jc w:val="both"/>
        <w:rPr>
          <w:rFonts w:asciiTheme="majorBidi" w:eastAsia="Times New Roman" w:hAnsiTheme="majorBidi" w:cs="Times New Roman"/>
          <w:sz w:val="24"/>
          <w:szCs w:val="24"/>
          <w:lang w:val="ms-MY"/>
        </w:rPr>
      </w:pPr>
    </w:p>
    <w:p w14:paraId="44A25E01" w14:textId="6D25DB50" w:rsidR="003802EA" w:rsidRDefault="003802EA" w:rsidP="00A51710">
      <w:pPr>
        <w:spacing w:after="0" w:line="360" w:lineRule="auto"/>
        <w:jc w:val="both"/>
        <w:rPr>
          <w:rFonts w:asciiTheme="majorBidi" w:eastAsia="Times New Roman" w:hAnsiTheme="majorBidi" w:cs="Times New Roman"/>
          <w:sz w:val="24"/>
          <w:szCs w:val="24"/>
          <w:lang w:val="ms-MY"/>
        </w:rPr>
      </w:pPr>
      <w:r>
        <w:rPr>
          <w:rFonts w:asciiTheme="majorBidi" w:eastAsia="Times New Roman" w:hAnsiTheme="majorBidi" w:cs="Times New Roman"/>
          <w:sz w:val="24"/>
          <w:szCs w:val="24"/>
          <w:lang w:val="ms-MY"/>
        </w:rPr>
        <w:t>Dalam disiplin pembangunan komuniti, konflik hubungan menjejaskan salah satu potensi komuniti iaitu modal sosial.</w:t>
      </w:r>
      <w:r w:rsidR="00391917">
        <w:rPr>
          <w:rFonts w:asciiTheme="majorBidi" w:eastAsia="Times New Roman" w:hAnsiTheme="majorBidi" w:cs="Times New Roman"/>
          <w:sz w:val="24"/>
          <w:szCs w:val="24"/>
          <w:lang w:val="ms-MY"/>
        </w:rPr>
        <w:t xml:space="preserve"> M</w:t>
      </w:r>
      <w:r w:rsidR="00391917" w:rsidRPr="00391917">
        <w:rPr>
          <w:rFonts w:asciiTheme="majorBidi" w:eastAsia="Times New Roman" w:hAnsiTheme="majorBidi" w:cs="Times New Roman"/>
          <w:sz w:val="24"/>
          <w:szCs w:val="24"/>
          <w:lang w:val="ms-MY"/>
        </w:rPr>
        <w:t>odal sosial merujuk kepada jaringan dan perhubungan yang dimiliki oleh komuniti (Philips &amp; Pittman, 2009).</w:t>
      </w:r>
      <w:r w:rsidR="00391917">
        <w:rPr>
          <w:rFonts w:asciiTheme="majorBidi" w:eastAsia="Times New Roman" w:hAnsiTheme="majorBidi" w:cs="Times New Roman"/>
          <w:sz w:val="24"/>
          <w:szCs w:val="24"/>
          <w:lang w:val="ms-MY"/>
        </w:rPr>
        <w:t xml:space="preserve"> Antara kepercayaan disiplin pembangunan komuniti ialah jaringan dan hubungan tersebut dapat digunakan </w:t>
      </w:r>
      <w:r w:rsidRPr="003802EA">
        <w:rPr>
          <w:rFonts w:asciiTheme="majorBidi" w:eastAsia="Times New Roman" w:hAnsiTheme="majorBidi" w:cs="Times New Roman"/>
          <w:sz w:val="24"/>
          <w:szCs w:val="24"/>
          <w:lang w:val="ms-MY"/>
        </w:rPr>
        <w:t xml:space="preserve">untuk mengubah komuniti bagi mencapai sesuatu pembangunan komuniti (Agnitsh et al., 2006). </w:t>
      </w:r>
      <w:r w:rsidR="00391917">
        <w:rPr>
          <w:rFonts w:asciiTheme="majorBidi" w:eastAsia="Times New Roman" w:hAnsiTheme="majorBidi" w:cs="Times New Roman"/>
          <w:sz w:val="24"/>
          <w:szCs w:val="24"/>
          <w:lang w:val="ms-MY"/>
        </w:rPr>
        <w:t xml:space="preserve">Modal sosial dapat berfungsi apabila wujud </w:t>
      </w:r>
      <w:r w:rsidRPr="003802EA">
        <w:rPr>
          <w:rFonts w:asciiTheme="majorBidi" w:eastAsia="Times New Roman" w:hAnsiTheme="majorBidi" w:cs="Times New Roman"/>
          <w:sz w:val="24"/>
          <w:szCs w:val="24"/>
          <w:lang w:val="ms-MY"/>
        </w:rPr>
        <w:t>sumber sosial daripada hubungan dengan rakan, kenalan dan jaringan individu atau hubungan yang diinstitusikan disebabkan saling mengenali dan mengiktiraf untuk mendapatkan sesuatu manfaat (Burt, 1992; Bourdieu &amp; Wacquant, 1992).</w:t>
      </w:r>
      <w:r w:rsidR="00391917">
        <w:rPr>
          <w:rFonts w:asciiTheme="majorBidi" w:eastAsia="Times New Roman" w:hAnsiTheme="majorBidi" w:cs="Times New Roman"/>
          <w:sz w:val="24"/>
          <w:szCs w:val="24"/>
          <w:lang w:val="ms-MY"/>
        </w:rPr>
        <w:t xml:space="preserve"> Oleh itu, pemilikan dan perubahan </w:t>
      </w:r>
      <w:r w:rsidR="00391917" w:rsidRPr="00391917">
        <w:rPr>
          <w:rFonts w:asciiTheme="majorBidi" w:eastAsia="Times New Roman" w:hAnsiTheme="majorBidi" w:cs="Times New Roman"/>
          <w:sz w:val="24"/>
          <w:szCs w:val="24"/>
          <w:lang w:val="ms-MY"/>
        </w:rPr>
        <w:t>yang berlaku pada modal sosial memberi kesan kepada kelompok itu sendiri dan juga kelompok yang lain.</w:t>
      </w:r>
    </w:p>
    <w:p w14:paraId="5857D043" w14:textId="77777777" w:rsidR="00391917" w:rsidRDefault="00391917" w:rsidP="00A51710">
      <w:pPr>
        <w:spacing w:after="0" w:line="360" w:lineRule="auto"/>
        <w:jc w:val="both"/>
        <w:rPr>
          <w:rFonts w:asciiTheme="majorBidi" w:eastAsia="Times New Roman" w:hAnsiTheme="majorBidi" w:cs="Times New Roman"/>
          <w:sz w:val="24"/>
          <w:szCs w:val="24"/>
          <w:lang w:val="ms-MY"/>
        </w:rPr>
      </w:pPr>
    </w:p>
    <w:p w14:paraId="359C7442" w14:textId="77D10108" w:rsidR="00391917" w:rsidRDefault="00391917" w:rsidP="00A51710">
      <w:pPr>
        <w:spacing w:after="0" w:line="360" w:lineRule="auto"/>
        <w:jc w:val="both"/>
        <w:rPr>
          <w:rFonts w:asciiTheme="majorBidi" w:eastAsia="Times New Roman" w:hAnsiTheme="majorBidi" w:cs="Times New Roman"/>
          <w:sz w:val="24"/>
          <w:szCs w:val="24"/>
          <w:lang w:val="ms-MY"/>
        </w:rPr>
      </w:pPr>
    </w:p>
    <w:p w14:paraId="1C007C3B" w14:textId="77777777" w:rsidR="00A70CC5" w:rsidRPr="00A70CC5" w:rsidRDefault="00391917" w:rsidP="00A51710">
      <w:pPr>
        <w:spacing w:after="0" w:line="360" w:lineRule="auto"/>
        <w:jc w:val="both"/>
        <w:rPr>
          <w:rFonts w:asciiTheme="majorBidi" w:eastAsia="Times New Roman" w:hAnsiTheme="majorBidi" w:cs="Times New Roman"/>
          <w:sz w:val="24"/>
          <w:szCs w:val="24"/>
          <w:lang w:val="ms-MY"/>
        </w:rPr>
      </w:pPr>
      <w:r>
        <w:rPr>
          <w:rFonts w:asciiTheme="majorBidi" w:eastAsia="Times New Roman" w:hAnsiTheme="majorBidi" w:cs="Times New Roman"/>
          <w:sz w:val="24"/>
          <w:szCs w:val="24"/>
          <w:lang w:val="ms-MY"/>
        </w:rPr>
        <w:t>Salah satu modal sosial yang terjejas ekoran konflik hubungan selepas konversi agama dalam kalangan Cina Muslim ialah modal sosial ikatan. Mo</w:t>
      </w:r>
      <w:r w:rsidR="003802EA" w:rsidRPr="003802EA">
        <w:rPr>
          <w:rFonts w:asciiTheme="majorBidi" w:eastAsia="Times New Roman" w:hAnsiTheme="majorBidi" w:cs="Times New Roman"/>
          <w:sz w:val="24"/>
          <w:szCs w:val="24"/>
          <w:lang w:val="ms-MY"/>
        </w:rPr>
        <w:t xml:space="preserve">dal sosial ikatan </w:t>
      </w:r>
      <w:r>
        <w:rPr>
          <w:rFonts w:asciiTheme="majorBidi" w:eastAsia="Times New Roman" w:hAnsiTheme="majorBidi" w:cs="Times New Roman"/>
          <w:sz w:val="24"/>
          <w:szCs w:val="24"/>
          <w:lang w:val="ms-MY"/>
        </w:rPr>
        <w:t xml:space="preserve">dapat difahami sebagai </w:t>
      </w:r>
      <w:r w:rsidR="003802EA" w:rsidRPr="003802EA">
        <w:rPr>
          <w:rFonts w:asciiTheme="majorBidi" w:eastAsia="Times New Roman" w:hAnsiTheme="majorBidi" w:cs="Times New Roman"/>
          <w:sz w:val="24"/>
          <w:szCs w:val="24"/>
          <w:lang w:val="ms-MY"/>
        </w:rPr>
        <w:t xml:space="preserve">hubungan antara individu dalam komuniti yang bersifat homogen seperti kawan rapat, keluarga, kumpulan sosial, jiran dan etnik (Putnam, 2000; Vynke et al., 2012). </w:t>
      </w:r>
      <w:r w:rsidR="00A70CC5" w:rsidRPr="00A70CC5">
        <w:rPr>
          <w:rFonts w:asciiTheme="majorBidi" w:eastAsia="Times New Roman" w:hAnsiTheme="majorBidi" w:cs="Times New Roman"/>
          <w:sz w:val="24"/>
          <w:szCs w:val="24"/>
          <w:lang w:val="ms-MY"/>
        </w:rPr>
        <w:t xml:space="preserve">Selain bersifat homogen, modal sosial ikatan  juga dikenali sebagai jaringan sosial yang kuat (Hofer &amp; Aubert, 2013). Dalam pandangan lain W. A Amir Zal (2014) menyatakan ikatan hubungan tersebut bukan sahaja kepada kelompok homogen yang dikenali sahaja tetapi individu atau kumpulan </w:t>
      </w:r>
      <w:r w:rsidR="00A70CC5" w:rsidRPr="00A70CC5">
        <w:rPr>
          <w:rFonts w:asciiTheme="majorBidi" w:eastAsia="Times New Roman" w:hAnsiTheme="majorBidi" w:cs="Times New Roman"/>
          <w:sz w:val="24"/>
          <w:szCs w:val="24"/>
          <w:lang w:val="ms-MY"/>
        </w:rPr>
        <w:lastRenderedPageBreak/>
        <w:t xml:space="preserve">yang diiktiraf yang mempunyai nilai, sifat, kepentingan dan matlamat yang hampir sama berasaskan norma dan budaya lazim. Maka modal sosial ikatan merujuk kepada hubungan yang pelbagai seperti keluarga, kawan rapat, jiran, persamaan sosio ekonomi, individu sedia dikenali dan mereka mempunyai kesamaan yang kuat serta hubungan yang  diiktiraf berdasarkan nilai, sifat dan kepentingan yang sama. Salah satu petunjuk kepada modal sosial ikatan ialah keakraban sosial kerana modal sosial ini berlaku dalam satu rangkaian sosial yang akrab. Justeru, penggunaan dan pemilikan modal sosial ikatan berlaku dengan baik apabila wujudnya keakraban dalaman yang tinggi (Woolcock, 2002; Campbell et al, 2010). Keakraban yang ada dalam hubungan tersebut meningkatkan solidariti dalam kalangan ahli komuniti serta mewujudkan sokongan emosi dan berfungsi secara berterusan kepada ahli komuniti (Schmid, 2000). Keakraban yang tinggi juga mewujudkan perasaan kejeleketan antara ahli komuniti sehingga merasakan komuniti sebagai rumah sendiri, perasaan diterima dan rasa dipunyai oleh ahli komuniti (Dale &amp; Sparkes, 2008). </w:t>
      </w:r>
    </w:p>
    <w:p w14:paraId="59AAAD63" w14:textId="77777777" w:rsidR="00A70CC5" w:rsidRPr="00A70CC5" w:rsidRDefault="00A70CC5" w:rsidP="00A51710">
      <w:pPr>
        <w:spacing w:after="0" w:line="360" w:lineRule="auto"/>
        <w:jc w:val="both"/>
        <w:rPr>
          <w:rFonts w:asciiTheme="majorBidi" w:eastAsia="Times New Roman" w:hAnsiTheme="majorBidi" w:cs="Times New Roman"/>
          <w:sz w:val="24"/>
          <w:szCs w:val="24"/>
          <w:lang w:val="ms-MY"/>
        </w:rPr>
      </w:pPr>
    </w:p>
    <w:p w14:paraId="03CA9386" w14:textId="77777777" w:rsidR="00A70CC5" w:rsidRPr="00A70CC5" w:rsidRDefault="00A70CC5" w:rsidP="00A51710">
      <w:pPr>
        <w:spacing w:after="0" w:line="360" w:lineRule="auto"/>
        <w:jc w:val="both"/>
        <w:rPr>
          <w:rFonts w:asciiTheme="majorBidi" w:eastAsia="Times New Roman" w:hAnsiTheme="majorBidi" w:cs="Times New Roman"/>
          <w:sz w:val="24"/>
          <w:szCs w:val="24"/>
          <w:lang w:val="ms-MY"/>
        </w:rPr>
      </w:pPr>
      <w:r w:rsidRPr="00A70CC5">
        <w:rPr>
          <w:rFonts w:asciiTheme="majorBidi" w:eastAsia="Times New Roman" w:hAnsiTheme="majorBidi" w:cs="Times New Roman"/>
          <w:sz w:val="24"/>
          <w:szCs w:val="24"/>
          <w:lang w:val="ms-MY"/>
        </w:rPr>
        <w:t>Selain itu, menurut Perkins et al. (2002) modal sosial ikatan juga perlu mempunyai norma timbal balik dan percaya dengan jaringan sosial mereka. Sikap percaya dalam modal sosial ikatan juga terbentuk melalui interaksi yang telah sedia terbentuk dalam komuniti (Payne, 2006). Menurut Fukuyama (2002) sikap percaya merupakan suatu pengharapan yang wujud dalam sebuah komuniti yang mempunyai tingkah laku normal, jujur, bekerjasama berdasarkan norma-norma yang dimiliki bersama. Sementara timbal balik ialah kepada perilaku yang terhasil daripada hubungan dalam bentuk saling memberi, saling menerima dan saling bantu-membantu.</w:t>
      </w:r>
    </w:p>
    <w:p w14:paraId="0D8A2605" w14:textId="77777777" w:rsidR="00A70CC5" w:rsidRPr="00A70CC5" w:rsidRDefault="00A70CC5" w:rsidP="00A51710">
      <w:pPr>
        <w:spacing w:after="0" w:line="360" w:lineRule="auto"/>
        <w:jc w:val="both"/>
        <w:rPr>
          <w:rFonts w:asciiTheme="majorBidi" w:eastAsia="Times New Roman" w:hAnsiTheme="majorBidi" w:cs="Times New Roman"/>
          <w:sz w:val="24"/>
          <w:szCs w:val="24"/>
          <w:lang w:val="ms-MY"/>
        </w:rPr>
      </w:pPr>
    </w:p>
    <w:p w14:paraId="23D9C333" w14:textId="07E132FC" w:rsidR="003802EA" w:rsidRDefault="00A70CC5" w:rsidP="00A51710">
      <w:pPr>
        <w:spacing w:after="0" w:line="360" w:lineRule="auto"/>
        <w:jc w:val="both"/>
        <w:rPr>
          <w:rFonts w:asciiTheme="majorBidi" w:eastAsia="Times New Roman" w:hAnsiTheme="majorBidi" w:cs="Times New Roman"/>
          <w:sz w:val="24"/>
          <w:szCs w:val="24"/>
          <w:lang w:val="ms-MY"/>
        </w:rPr>
      </w:pPr>
      <w:r w:rsidRPr="00A70CC5">
        <w:rPr>
          <w:rFonts w:asciiTheme="majorBidi" w:eastAsia="Times New Roman" w:hAnsiTheme="majorBidi" w:cs="Times New Roman"/>
          <w:sz w:val="24"/>
          <w:szCs w:val="24"/>
          <w:lang w:val="ms-MY"/>
        </w:rPr>
        <w:t xml:space="preserve">Peranan modal sosial ikatan dalam komuniti ialah untuk pembentukan identiti secara bersama, membangunkan timbal balik dalam komuniti, meningkatkan keakraban, sokongan sosial dan bantuan ketika krisis (Gittell, &amp; Vidal, 1998). Di samping itu, modal sosial ikatan juga berkesan menggerakkan individu dan sumber untuk tujuan bersama (Grant, 2001). Modal sosial ikatan juga berperanan mengikat golongan muda dan tua dalam komuniti mereka dengan </w:t>
      </w:r>
      <w:r w:rsidRPr="00A70CC5">
        <w:rPr>
          <w:rFonts w:asciiTheme="majorBidi" w:eastAsia="Times New Roman" w:hAnsiTheme="majorBidi" w:cs="Times New Roman"/>
          <w:sz w:val="24"/>
          <w:szCs w:val="24"/>
          <w:lang w:val="ms-MY"/>
        </w:rPr>
        <w:lastRenderedPageBreak/>
        <w:t>menyediakan satu rangka kerja tentang bagaimana orang muda dan dewasa boleh bersama-sama mewujudkan tindakan kolektif (Krasny et al., 2015). Menurut Williams (2006) modal sosial ini juga berperanan memberi sokongan emosi, memberi akses kepada sumber yang terhad, memupuk perpaduan, dan keluar daripada konflik permusuhan. Selain itu, berperanan untuk menyokong ahli komuniti, meningkatkan sokongan psikologi, menjamin keselamatan, kesihatan yang baik dan dapat menempatkan diri dengan baik dalam komuniti (Schmid, 2000; Mladovsky &amp; Mossialos, 2008; Bowen, 2009). Jelas menunjukkan bahawa modal sosial ikatan mempunyai banyak peranan berdasarkan keperluan ahli komuniti melalui potensi kepercayaan, timbal balik dan keakraban yang mana manfaat tersebut diperoleh tanpa ada sebarang pertikaian ke atas keperluan tersebut.</w:t>
      </w:r>
    </w:p>
    <w:p w14:paraId="0BD5F08F" w14:textId="4C805D2B" w:rsidR="001C7C78" w:rsidRDefault="001C7C78" w:rsidP="00E81F15">
      <w:pPr>
        <w:spacing w:after="0" w:line="240" w:lineRule="auto"/>
        <w:jc w:val="both"/>
        <w:rPr>
          <w:rFonts w:asciiTheme="majorBidi" w:eastAsia="Times New Roman" w:hAnsiTheme="majorBidi" w:cs="Times New Roman"/>
          <w:sz w:val="24"/>
          <w:szCs w:val="24"/>
          <w:lang w:val="ms-MY"/>
        </w:rPr>
      </w:pPr>
    </w:p>
    <w:p w14:paraId="73830DF0" w14:textId="77777777" w:rsidR="001C7C78" w:rsidRPr="00B53C29" w:rsidRDefault="001C7C78" w:rsidP="00E81F15">
      <w:pPr>
        <w:spacing w:after="0" w:line="240" w:lineRule="auto"/>
        <w:jc w:val="both"/>
        <w:rPr>
          <w:rFonts w:asciiTheme="majorBidi" w:eastAsia="Times New Roman" w:hAnsiTheme="majorBidi" w:cs="Times New Roman"/>
          <w:sz w:val="24"/>
          <w:szCs w:val="24"/>
          <w:lang w:val="ms-MY"/>
        </w:rPr>
      </w:pPr>
    </w:p>
    <w:p w14:paraId="7D8A0206" w14:textId="5085782A" w:rsidR="00E81F15" w:rsidRDefault="00E81F15" w:rsidP="00E81F15">
      <w:pPr>
        <w:spacing w:after="0" w:line="240" w:lineRule="auto"/>
        <w:jc w:val="both"/>
        <w:rPr>
          <w:rFonts w:asciiTheme="majorBidi" w:eastAsia="Times New Roman" w:hAnsiTheme="majorBidi" w:cs="Times New Roman"/>
          <w:sz w:val="24"/>
          <w:szCs w:val="24"/>
          <w:lang w:val="ms-MY"/>
        </w:rPr>
      </w:pPr>
    </w:p>
    <w:p w14:paraId="2B5FB874" w14:textId="1AF01AB1" w:rsidR="008038E2" w:rsidRDefault="008038E2" w:rsidP="00E81F15">
      <w:pPr>
        <w:spacing w:after="0" w:line="240" w:lineRule="auto"/>
        <w:jc w:val="both"/>
        <w:rPr>
          <w:rFonts w:asciiTheme="majorBidi" w:eastAsia="Times New Roman" w:hAnsiTheme="majorBidi" w:cs="Times New Roman"/>
          <w:b/>
          <w:sz w:val="24"/>
          <w:szCs w:val="24"/>
          <w:lang w:val="ms-MY"/>
        </w:rPr>
      </w:pPr>
      <w:r w:rsidRPr="008038E2">
        <w:rPr>
          <w:rFonts w:asciiTheme="majorBidi" w:eastAsia="Times New Roman" w:hAnsiTheme="majorBidi" w:cs="Times New Roman"/>
          <w:b/>
          <w:sz w:val="24"/>
          <w:szCs w:val="24"/>
          <w:lang w:val="ms-MY"/>
        </w:rPr>
        <w:t xml:space="preserve">2.0 ISU MODAL SOSIAL </w:t>
      </w:r>
      <w:r w:rsidR="00A70CC5">
        <w:rPr>
          <w:rFonts w:asciiTheme="majorBidi" w:eastAsia="Times New Roman" w:hAnsiTheme="majorBidi" w:cs="Times New Roman"/>
          <w:b/>
          <w:sz w:val="24"/>
          <w:szCs w:val="24"/>
          <w:lang w:val="ms-MY"/>
        </w:rPr>
        <w:t xml:space="preserve">IKATAN </w:t>
      </w:r>
      <w:r w:rsidRPr="008038E2">
        <w:rPr>
          <w:rFonts w:asciiTheme="majorBidi" w:eastAsia="Times New Roman" w:hAnsiTheme="majorBidi" w:cs="Times New Roman"/>
          <w:b/>
          <w:sz w:val="24"/>
          <w:szCs w:val="24"/>
          <w:lang w:val="ms-MY"/>
        </w:rPr>
        <w:t xml:space="preserve">CINA MUSLIM </w:t>
      </w:r>
    </w:p>
    <w:p w14:paraId="083CBE70" w14:textId="0723FB6A" w:rsidR="00066DBF" w:rsidRDefault="00066DBF" w:rsidP="00E81F15">
      <w:pPr>
        <w:spacing w:after="0" w:line="240" w:lineRule="auto"/>
        <w:jc w:val="both"/>
        <w:rPr>
          <w:rFonts w:asciiTheme="majorBidi" w:eastAsia="Times New Roman" w:hAnsiTheme="majorBidi" w:cs="Times New Roman"/>
          <w:b/>
          <w:sz w:val="24"/>
          <w:szCs w:val="24"/>
          <w:lang w:val="ms-MY"/>
        </w:rPr>
      </w:pPr>
    </w:p>
    <w:p w14:paraId="32210F28" w14:textId="51004506" w:rsidR="0041573B" w:rsidRDefault="00F73EA2" w:rsidP="00A51710">
      <w:pPr>
        <w:spacing w:after="0" w:line="360" w:lineRule="auto"/>
        <w:jc w:val="both"/>
        <w:rPr>
          <w:rFonts w:asciiTheme="majorBidi" w:eastAsia="Times New Roman" w:hAnsiTheme="majorBidi" w:cs="Times New Roman"/>
          <w:sz w:val="24"/>
          <w:szCs w:val="24"/>
          <w:lang w:val="ms-MY"/>
        </w:rPr>
      </w:pPr>
      <w:r w:rsidRPr="00F73EA2">
        <w:rPr>
          <w:rFonts w:asciiTheme="majorBidi" w:eastAsia="Times New Roman" w:hAnsiTheme="majorBidi" w:cs="Times New Roman"/>
          <w:sz w:val="24"/>
          <w:szCs w:val="24"/>
          <w:lang w:val="ms-MY"/>
        </w:rPr>
        <w:t xml:space="preserve">Bagi </w:t>
      </w:r>
      <w:r>
        <w:rPr>
          <w:rFonts w:asciiTheme="majorBidi" w:eastAsia="Times New Roman" w:hAnsiTheme="majorBidi" w:cs="Times New Roman"/>
          <w:sz w:val="24"/>
          <w:szCs w:val="24"/>
          <w:lang w:val="ms-MY"/>
        </w:rPr>
        <w:t>komuniti Cina Muslim tidak terdapat satu perbincangan khusus mengenai modal sosial ikatan mereka terutamanya dalam aspek hubungan dengan keluarga asal yang bukan beragama Islam. Walaupun begitu, terdapat kajian-kajian yang menyentuh persoalan hubungan mereka dengan keluarga asal secara umum. Terdapat pelbagai masalah hubungan yang diperhatikan menjejaskan modal sosial secara umum. Antaranya</w:t>
      </w:r>
      <w:r w:rsidR="00E81F15" w:rsidRPr="00B53C29">
        <w:rPr>
          <w:rFonts w:asciiTheme="majorBidi" w:eastAsia="Times New Roman" w:hAnsiTheme="majorBidi" w:cs="Times New Roman"/>
          <w:sz w:val="24"/>
          <w:szCs w:val="24"/>
          <w:lang w:val="ms-MY"/>
        </w:rPr>
        <w:t xml:space="preserve"> konversi agama telah menyebabkan mereka telah dipandang negatif dan dibuang oleh keluarga asal yang bukan muslim kerana dianggap mahu menjadi Melayu (Nagata, 1978; Amran Kasimin, 1985; Osman Chuah, 2001; Nuraisyah Chua, 2005; Mohd Syukri &amp; Osman Chua, 2004; Zainab &amp; Ismail, 2009). </w:t>
      </w:r>
      <w:r>
        <w:rPr>
          <w:rFonts w:asciiTheme="majorBidi" w:eastAsia="Times New Roman" w:hAnsiTheme="majorBidi" w:cs="Times New Roman"/>
          <w:sz w:val="24"/>
          <w:szCs w:val="24"/>
          <w:lang w:val="ms-MY"/>
        </w:rPr>
        <w:t xml:space="preserve">Selain itu, </w:t>
      </w:r>
      <w:r w:rsidR="00E81F15" w:rsidRPr="00B53C29">
        <w:rPr>
          <w:rFonts w:asciiTheme="majorBidi" w:eastAsia="Times New Roman" w:hAnsiTheme="majorBidi" w:cs="Times New Roman"/>
          <w:sz w:val="24"/>
          <w:szCs w:val="24"/>
          <w:lang w:val="ms-MY"/>
        </w:rPr>
        <w:t xml:space="preserve">mereka </w:t>
      </w:r>
      <w:r>
        <w:rPr>
          <w:rFonts w:asciiTheme="majorBidi" w:eastAsia="Times New Roman" w:hAnsiTheme="majorBidi" w:cs="Times New Roman"/>
          <w:sz w:val="24"/>
          <w:szCs w:val="24"/>
          <w:lang w:val="ms-MY"/>
        </w:rPr>
        <w:t xml:space="preserve">turut </w:t>
      </w:r>
      <w:r w:rsidR="00E81F15" w:rsidRPr="00B53C29">
        <w:rPr>
          <w:rFonts w:asciiTheme="majorBidi" w:eastAsia="Times New Roman" w:hAnsiTheme="majorBidi" w:cs="Times New Roman"/>
          <w:sz w:val="24"/>
          <w:szCs w:val="24"/>
          <w:lang w:val="ms-MY"/>
        </w:rPr>
        <w:t>dipulau</w:t>
      </w:r>
      <w:r w:rsidR="00EE3D90">
        <w:rPr>
          <w:rFonts w:asciiTheme="majorBidi" w:eastAsia="Times New Roman" w:hAnsiTheme="majorBidi" w:cs="Times New Roman"/>
          <w:sz w:val="24"/>
          <w:szCs w:val="24"/>
          <w:lang w:val="ms-MY"/>
        </w:rPr>
        <w:t xml:space="preserve"> dan disindir oleh keluarga asal mereka</w:t>
      </w:r>
      <w:r w:rsidR="00E81F15" w:rsidRPr="00B53C29">
        <w:rPr>
          <w:rFonts w:asciiTheme="majorBidi" w:eastAsia="Times New Roman" w:hAnsiTheme="majorBidi" w:cs="Times New Roman"/>
          <w:sz w:val="24"/>
          <w:szCs w:val="24"/>
          <w:lang w:val="ms-MY"/>
        </w:rPr>
        <w:t>, tidak dibenarkan pulang ke rumah</w:t>
      </w:r>
      <w:r w:rsidR="00EE3D90">
        <w:rPr>
          <w:rFonts w:asciiTheme="majorBidi" w:eastAsia="Times New Roman" w:hAnsiTheme="majorBidi" w:cs="Times New Roman"/>
          <w:sz w:val="24"/>
          <w:szCs w:val="24"/>
          <w:lang w:val="ms-MY"/>
        </w:rPr>
        <w:t xml:space="preserve"> serta</w:t>
      </w:r>
      <w:r w:rsidR="00E81F15" w:rsidRPr="00B53C29">
        <w:rPr>
          <w:rFonts w:asciiTheme="majorBidi" w:eastAsia="Times New Roman" w:hAnsiTheme="majorBidi" w:cs="Times New Roman"/>
          <w:sz w:val="24"/>
          <w:szCs w:val="24"/>
          <w:lang w:val="ms-MY"/>
        </w:rPr>
        <w:t xml:space="preserve"> putus hubungan kekeluargaan (Mohd Syukri Yeoh &amp; Osman Chua, 2004; Abdullah &amp; Shukri, 2008; Nur Athiroh Tan &amp; Fariza, 2009; Suraya Sintang et al., 2013; Marlon P.Guleng et al., 2014). Bagi pasangan yang telah berkahwin pula mereka terpaksa menceraikan isteri atau berpisah dengan suami yang masih belum memeluk Islam (Mohd Syukri Yeoh &amp; Osman, 2004) dan menghadapi konflik hak penjagaan anak (Osman Chua, 2005). Selain itu, ada dalam kalangan mereka yang dinafikan daripada mewarisi perniagaan dan harta pusaka keluarga </w:t>
      </w:r>
      <w:r w:rsidR="00E81F15" w:rsidRPr="00B53C29">
        <w:rPr>
          <w:rFonts w:asciiTheme="majorBidi" w:eastAsia="Times New Roman" w:hAnsiTheme="majorBidi" w:cs="Times New Roman"/>
          <w:sz w:val="24"/>
          <w:szCs w:val="24"/>
          <w:lang w:val="ms-MY"/>
        </w:rPr>
        <w:lastRenderedPageBreak/>
        <w:t xml:space="preserve">(Anuar Puteh, 2006; Osman Chua, 2005). Konflik antara keluarga juga berlaku ekoran timbul salah tanggapan keluarga terhadap niat memeluk Islam sehingga mereka menganggap komuniti Cina Muslim mengkhianati asal-usul, keturunan, budaya, warisan dan agama nenek moyang mereka serta dianggap menjadi Melayu (Che Ku Shalihah, 2004; Marlon P. Guleng et al., 2014). Manakala yang lebih ekstrem, ada dalam kalangan Cina Muslim yang diancam bunuh (Ann Wan Seng; 2009; Osman Chua, 2005). Ini menunjukkan pemilikan modal sosial dalam aspek keakraban telah terjejas ekoran pengislaman mereka. Namun dalam pandangan lain, ahli keluarga Cina menerima pengislaman Cina Muslim setelah melalui beberapa tempoh masa yang tertentu (Osman Chuah, 1997; Nuraisyah, 2006; Zainab &amp; Wan Ibrahim, 2009). Walaubagaimanapun, kajian mengenai modal sosial ikatan per se adalah terhad diperhatikan dalam kalangan Cina Muslim kerana kebanyakan menunjukkan realiti konflik hubungan yang menunjukkan pemilikan keakraban modal sosial secara umum. </w:t>
      </w:r>
      <w:r w:rsidR="00927DFC">
        <w:rPr>
          <w:rFonts w:asciiTheme="majorBidi" w:eastAsia="Times New Roman" w:hAnsiTheme="majorBidi" w:cs="Times New Roman"/>
          <w:sz w:val="24"/>
          <w:szCs w:val="24"/>
          <w:lang w:val="ms-MY"/>
        </w:rPr>
        <w:t xml:space="preserve">Ini memberi persoalan tentang bagaimana realiti pemilikan modal sosial ikatan dalam kalangan Cina Muslim. </w:t>
      </w:r>
    </w:p>
    <w:p w14:paraId="4BB86749" w14:textId="20D5D84C" w:rsidR="00927DFC" w:rsidRDefault="00927DFC" w:rsidP="00A51710">
      <w:pPr>
        <w:spacing w:after="0" w:line="360" w:lineRule="auto"/>
        <w:jc w:val="both"/>
        <w:rPr>
          <w:rFonts w:asciiTheme="majorBidi" w:eastAsia="Times New Roman" w:hAnsiTheme="majorBidi" w:cs="Times New Roman"/>
          <w:sz w:val="24"/>
          <w:szCs w:val="24"/>
          <w:lang w:val="ms-MY"/>
        </w:rPr>
      </w:pPr>
    </w:p>
    <w:p w14:paraId="46D7A304" w14:textId="18CDE0FE" w:rsidR="00927DFC" w:rsidRDefault="00927DFC" w:rsidP="00A51710">
      <w:pPr>
        <w:spacing w:after="0" w:line="360" w:lineRule="auto"/>
        <w:jc w:val="both"/>
        <w:rPr>
          <w:rFonts w:asciiTheme="majorBidi" w:eastAsia="Times New Roman" w:hAnsiTheme="majorBidi" w:cs="Times New Roman"/>
          <w:sz w:val="24"/>
          <w:szCs w:val="24"/>
          <w:lang w:val="ms-MY"/>
        </w:rPr>
      </w:pPr>
      <w:r>
        <w:rPr>
          <w:rFonts w:asciiTheme="majorBidi" w:eastAsia="Times New Roman" w:hAnsiTheme="majorBidi" w:cs="Times New Roman"/>
          <w:sz w:val="24"/>
          <w:szCs w:val="24"/>
          <w:lang w:val="ms-MY"/>
        </w:rPr>
        <w:t xml:space="preserve">Justeru, untuk menjawab persoalan tersebut artikel ini menggariskan dua objektif, iaitu untuk menjelaskan pemilikan modal sosial ikatan Cina Muslim dan menganalisis perbezaan pemilikan modal sosial ikatan sebelum dan selepas memeluk agama Islam dan tempoh memeluk agama Islam dijadikan variabel kawalan. </w:t>
      </w:r>
    </w:p>
    <w:p w14:paraId="264DB463" w14:textId="77777777" w:rsidR="0041573B" w:rsidRDefault="0041573B" w:rsidP="007E7F44">
      <w:pPr>
        <w:spacing w:after="0" w:line="240" w:lineRule="auto"/>
        <w:jc w:val="both"/>
        <w:rPr>
          <w:rFonts w:asciiTheme="majorBidi" w:eastAsia="Times New Roman" w:hAnsiTheme="majorBidi" w:cs="Times New Roman"/>
          <w:sz w:val="24"/>
          <w:szCs w:val="24"/>
          <w:lang w:val="ms-MY"/>
        </w:rPr>
      </w:pPr>
    </w:p>
    <w:p w14:paraId="0D6F8E9F" w14:textId="77777777" w:rsidR="007913AC" w:rsidRPr="00B53C29" w:rsidRDefault="007913AC" w:rsidP="007913AC">
      <w:pPr>
        <w:spacing w:after="0" w:line="240" w:lineRule="auto"/>
        <w:jc w:val="both"/>
        <w:rPr>
          <w:rFonts w:asciiTheme="majorBidi" w:eastAsia="Times New Roman" w:hAnsiTheme="majorBidi" w:cs="Times New Roman"/>
          <w:sz w:val="24"/>
          <w:szCs w:val="24"/>
          <w:lang w:val="ms-MY"/>
        </w:rPr>
      </w:pPr>
    </w:p>
    <w:p w14:paraId="2EE38E92" w14:textId="2AB0F2A7" w:rsidR="007913AC" w:rsidRPr="00A95EF8" w:rsidRDefault="00310C6B" w:rsidP="00A95EF8">
      <w:pPr>
        <w:pStyle w:val="ListParagraph"/>
        <w:keepNext/>
        <w:keepLines/>
        <w:numPr>
          <w:ilvl w:val="0"/>
          <w:numId w:val="10"/>
        </w:numPr>
        <w:spacing w:before="240" w:after="120" w:line="240" w:lineRule="auto"/>
        <w:jc w:val="both"/>
        <w:outlineLvl w:val="0"/>
        <w:rPr>
          <w:rFonts w:asciiTheme="majorBidi" w:eastAsiaTheme="majorEastAsia" w:hAnsiTheme="majorBidi" w:cstheme="majorBidi"/>
          <w:b/>
          <w:bCs/>
          <w:sz w:val="24"/>
          <w:szCs w:val="28"/>
          <w:lang w:val="ms-MY"/>
        </w:rPr>
      </w:pPr>
      <w:r w:rsidRPr="00A95EF8">
        <w:rPr>
          <w:rFonts w:asciiTheme="majorBidi" w:eastAsiaTheme="majorEastAsia" w:hAnsiTheme="majorBidi" w:cstheme="majorBidi"/>
          <w:b/>
          <w:bCs/>
          <w:sz w:val="24"/>
          <w:szCs w:val="28"/>
          <w:lang w:val="ms-MY"/>
        </w:rPr>
        <w:t>METODOLOGI KAJIAN</w:t>
      </w:r>
    </w:p>
    <w:p w14:paraId="7C02FD8A" w14:textId="77777777" w:rsidR="00310C6B" w:rsidRPr="007913AC" w:rsidRDefault="00310C6B" w:rsidP="00310C6B">
      <w:pPr>
        <w:pStyle w:val="ListParagraph"/>
        <w:keepNext/>
        <w:keepLines/>
        <w:spacing w:before="240" w:after="120" w:line="240" w:lineRule="auto"/>
        <w:ind w:left="360"/>
        <w:jc w:val="both"/>
        <w:outlineLvl w:val="0"/>
        <w:rPr>
          <w:rFonts w:asciiTheme="majorBidi" w:eastAsiaTheme="majorEastAsia" w:hAnsiTheme="majorBidi" w:cstheme="majorBidi"/>
          <w:b/>
          <w:bCs/>
          <w:sz w:val="24"/>
          <w:szCs w:val="28"/>
          <w:lang w:val="ms-MY"/>
        </w:rPr>
      </w:pPr>
    </w:p>
    <w:p w14:paraId="761303D2" w14:textId="77777777" w:rsidR="007913AC" w:rsidRPr="00B53C29" w:rsidRDefault="007913AC" w:rsidP="00A51710">
      <w:pPr>
        <w:spacing w:after="0" w:line="360" w:lineRule="auto"/>
        <w:jc w:val="both"/>
        <w:rPr>
          <w:rFonts w:asciiTheme="majorBidi" w:eastAsia="Times New Roman" w:hAnsiTheme="majorBidi" w:cs="Times New Roman"/>
          <w:sz w:val="24"/>
          <w:szCs w:val="24"/>
          <w:lang w:val="ms-MY"/>
        </w:rPr>
      </w:pPr>
      <w:r w:rsidRPr="00B53C29">
        <w:rPr>
          <w:rFonts w:asciiTheme="majorBidi" w:eastAsia="Times New Roman" w:hAnsiTheme="majorBidi" w:cs="Times New Roman"/>
          <w:sz w:val="24"/>
          <w:szCs w:val="24"/>
          <w:lang w:val="ms-MY"/>
        </w:rPr>
        <w:t xml:space="preserve">Kajian ini menggunakan kaedah kajian gabungan dengan menggabungkan pendekatan kuantitatif dan kualitatif. Ini kerana penyelidik ingin menjawab objektif kajian dengan lebih baik. Menurut Creswell dan Clark (2007) maklumat dapat diperoleh dengan lebih jelas, tepat dan dapat memahami penyataan masalah dengan lebih baik berbanding satu kaedah sahaja. Selain, dapat mengatasi limitasi-limatasi yang terdapat dalam kedua-dua kaedah tersebut. Ini selari dengan McMillan (2012) yang menyatakan limitasi-limatasi tertentu dalam pendekatan kuantitatif dan kualitatif menjadikan kaedah gabungan sebagai pendekatan terbaik untuk </w:t>
      </w:r>
      <w:r w:rsidRPr="00B53C29">
        <w:rPr>
          <w:rFonts w:asciiTheme="majorBidi" w:eastAsia="Times New Roman" w:hAnsiTheme="majorBidi" w:cs="Times New Roman"/>
          <w:sz w:val="24"/>
          <w:szCs w:val="24"/>
          <w:lang w:val="ms-MY"/>
        </w:rPr>
        <w:lastRenderedPageBreak/>
        <w:t>menjawab persoalan kajian. Kajian kuantitatif menggunakan kaedah tinjauan dan kajian kualitatif menggunakan kaedah temu bual. Gabungan kaedah ini diselesaikan satu per satu iaitu dengan melaksanakan kajian tinjauan terlebih dahulu dan diikuti dengan temu bual. Kajian kualitatif bertujuan mengukuhkan hasil kajian kuantitatif. Pendekatan ini dinamakan reka bentuk kajian gabungan penjelasan berikutan (</w:t>
      </w:r>
      <w:r w:rsidRPr="00B53C29">
        <w:rPr>
          <w:rFonts w:asciiTheme="majorBidi" w:eastAsia="Times New Roman" w:hAnsiTheme="majorBidi" w:cs="Times New Roman"/>
          <w:i/>
          <w:sz w:val="24"/>
          <w:szCs w:val="24"/>
          <w:lang w:val="ms-MY"/>
        </w:rPr>
        <w:t>sequantial explanatory design</w:t>
      </w:r>
      <w:r w:rsidRPr="00B53C29">
        <w:rPr>
          <w:rFonts w:asciiTheme="majorBidi" w:eastAsia="Times New Roman" w:hAnsiTheme="majorBidi" w:cs="Times New Roman"/>
          <w:sz w:val="24"/>
          <w:szCs w:val="24"/>
          <w:lang w:val="ms-MY"/>
        </w:rPr>
        <w:t xml:space="preserve">). Sampel kajian dipilih menggunakan pendekatan kebetulan dan bola salji. Ini kerana penyelidik tidak memperoleh kerangka pensampelan yang konkrit daripada pihak berautoriti walaupun telah berusaha dengan pelbagai cara untuk mendapatkannya. Pensampelan secara kebetulan diaplikasikan dengan memilih sampel kajian daripada program-program anjuran Persatuan Cina Muslim (MACMA) dan kelas-kelas anjuran Majlis Agama Islam dan Adat Istiadat Melayu Kelantan (MAIK). Melalui sampel yang dipilih penyelidik mengaplikasi kaedah bola salji untuk mendapatkan sampel kajian yang lain. Melalui proses tersebut penyelidik memperoleh 75 orang responden kajian. Manakala informan bagi temu bual dipilih daripada responden tersebut dan 5 orang telah terlibat sebagai informan kajian.  </w:t>
      </w:r>
    </w:p>
    <w:p w14:paraId="52869629" w14:textId="77777777" w:rsidR="007913AC" w:rsidRPr="00B53C29" w:rsidRDefault="007913AC" w:rsidP="00A51710">
      <w:pPr>
        <w:spacing w:after="0" w:line="360" w:lineRule="auto"/>
        <w:jc w:val="both"/>
        <w:rPr>
          <w:rFonts w:asciiTheme="majorBidi" w:eastAsia="Times New Roman" w:hAnsiTheme="majorBidi" w:cs="Times New Roman"/>
          <w:sz w:val="24"/>
          <w:szCs w:val="24"/>
          <w:lang w:val="ms-MY"/>
        </w:rPr>
      </w:pPr>
    </w:p>
    <w:p w14:paraId="103B7AF0" w14:textId="359B3188" w:rsidR="007913AC" w:rsidRPr="00B53C29" w:rsidRDefault="007913AC" w:rsidP="00A51710">
      <w:pPr>
        <w:spacing w:after="0" w:line="360" w:lineRule="auto"/>
        <w:jc w:val="both"/>
        <w:rPr>
          <w:rFonts w:asciiTheme="majorBidi" w:eastAsia="Times New Roman" w:hAnsiTheme="majorBidi" w:cs="Times New Roman"/>
          <w:sz w:val="24"/>
          <w:szCs w:val="24"/>
          <w:lang w:val="ms-MY"/>
        </w:rPr>
      </w:pPr>
      <w:r w:rsidRPr="00B53C29">
        <w:rPr>
          <w:rFonts w:asciiTheme="majorBidi" w:eastAsia="Times New Roman" w:hAnsiTheme="majorBidi" w:cs="Times New Roman"/>
          <w:sz w:val="24"/>
          <w:szCs w:val="24"/>
          <w:lang w:val="ms-MY"/>
        </w:rPr>
        <w:t>Data dikumpulkan menggunakan borang soal selidik dan temu bual berstruktur</w:t>
      </w:r>
      <w:r w:rsidR="00A95EF8">
        <w:rPr>
          <w:rFonts w:asciiTheme="majorBidi" w:eastAsia="Times New Roman" w:hAnsiTheme="majorBidi" w:cs="Times New Roman"/>
          <w:sz w:val="24"/>
          <w:szCs w:val="24"/>
          <w:lang w:val="ms-MY"/>
        </w:rPr>
        <w:t xml:space="preserve"> untuk mengukur pemilikan modal sosial</w:t>
      </w:r>
      <w:r w:rsidRPr="00B53C29">
        <w:rPr>
          <w:rFonts w:asciiTheme="majorBidi" w:eastAsia="Times New Roman" w:hAnsiTheme="majorBidi" w:cs="Times New Roman"/>
          <w:sz w:val="24"/>
          <w:szCs w:val="24"/>
          <w:lang w:val="ms-MY"/>
        </w:rPr>
        <w:t xml:space="preserve">. </w:t>
      </w:r>
      <w:r w:rsidR="00A95EF8">
        <w:rPr>
          <w:rFonts w:asciiTheme="majorBidi" w:eastAsia="Times New Roman" w:hAnsiTheme="majorBidi" w:cs="Times New Roman"/>
          <w:sz w:val="24"/>
          <w:szCs w:val="24"/>
          <w:lang w:val="ms-MY"/>
        </w:rPr>
        <w:t>Terdapat dua elemen yang mengukur pemilikan modal sosial iaitu ke</w:t>
      </w:r>
      <w:r w:rsidR="009D7F92">
        <w:rPr>
          <w:rFonts w:asciiTheme="majorBidi" w:eastAsia="Times New Roman" w:hAnsiTheme="majorBidi" w:cs="Times New Roman"/>
          <w:sz w:val="24"/>
          <w:szCs w:val="24"/>
          <w:lang w:val="ms-MY"/>
        </w:rPr>
        <w:t>a</w:t>
      </w:r>
      <w:r w:rsidR="00A95EF8">
        <w:rPr>
          <w:rFonts w:asciiTheme="majorBidi" w:eastAsia="Times New Roman" w:hAnsiTheme="majorBidi" w:cs="Times New Roman"/>
          <w:sz w:val="24"/>
          <w:szCs w:val="24"/>
          <w:lang w:val="ms-MY"/>
        </w:rPr>
        <w:t>k</w:t>
      </w:r>
      <w:r w:rsidR="009D7F92">
        <w:rPr>
          <w:rFonts w:asciiTheme="majorBidi" w:eastAsia="Times New Roman" w:hAnsiTheme="majorBidi" w:cs="Times New Roman"/>
          <w:sz w:val="24"/>
          <w:szCs w:val="24"/>
          <w:lang w:val="ms-MY"/>
        </w:rPr>
        <w:t>raban dan kekerapan berhubung. K</w:t>
      </w:r>
      <w:r w:rsidRPr="00B53C29">
        <w:rPr>
          <w:rFonts w:asciiTheme="majorBidi" w:eastAsia="Times New Roman" w:hAnsiTheme="majorBidi" w:cs="Times New Roman"/>
          <w:sz w:val="24"/>
          <w:szCs w:val="24"/>
          <w:lang w:val="ms-MY"/>
        </w:rPr>
        <w:t xml:space="preserve">eakraban </w:t>
      </w:r>
      <w:r w:rsidR="009D7F92">
        <w:rPr>
          <w:rFonts w:asciiTheme="majorBidi" w:eastAsia="Times New Roman" w:hAnsiTheme="majorBidi" w:cs="Times New Roman"/>
          <w:sz w:val="24"/>
          <w:szCs w:val="24"/>
          <w:lang w:val="ms-MY"/>
        </w:rPr>
        <w:t xml:space="preserve">merujuk kepada sejauh mana akrab responden </w:t>
      </w:r>
      <w:r w:rsidRPr="00B53C29">
        <w:rPr>
          <w:rFonts w:asciiTheme="majorBidi" w:eastAsia="Times New Roman" w:hAnsiTheme="majorBidi" w:cs="Times New Roman"/>
          <w:sz w:val="24"/>
          <w:szCs w:val="24"/>
          <w:lang w:val="ms-MY"/>
        </w:rPr>
        <w:t xml:space="preserve">dengan modal sosial ikatan yang dioperasionalkan sebagai ibu, ayah, adik beradik, pasangan suami atau isteri dan saudara mara. Manakala kekerapan berhubung diukur sejauh mana kerap responden berhubung dengan modal sosial ikatan tersebut. Data kualitatif diperoleh melalui temu bual berstruktur yang mana protokol temu bual dibentuk berasaskan hasil kajian kuantitatif. </w:t>
      </w:r>
    </w:p>
    <w:p w14:paraId="54E80D12" w14:textId="77777777" w:rsidR="007913AC" w:rsidRPr="00B53C29" w:rsidRDefault="007913AC" w:rsidP="00A51710">
      <w:pPr>
        <w:spacing w:after="0" w:line="360" w:lineRule="auto"/>
        <w:jc w:val="both"/>
        <w:rPr>
          <w:rFonts w:asciiTheme="majorBidi" w:eastAsia="Times New Roman" w:hAnsiTheme="majorBidi" w:cs="Times New Roman"/>
          <w:sz w:val="24"/>
          <w:szCs w:val="24"/>
          <w:lang w:val="ms-MY"/>
        </w:rPr>
      </w:pPr>
    </w:p>
    <w:p w14:paraId="654A5B1B" w14:textId="77777777" w:rsidR="007913AC" w:rsidRPr="00B53C29" w:rsidRDefault="007913AC" w:rsidP="00A51710">
      <w:pPr>
        <w:spacing w:after="0" w:line="360" w:lineRule="auto"/>
        <w:jc w:val="both"/>
        <w:rPr>
          <w:rFonts w:asciiTheme="majorBidi" w:eastAsia="Times New Roman" w:hAnsiTheme="majorBidi" w:cs="Times New Roman"/>
          <w:sz w:val="24"/>
          <w:szCs w:val="24"/>
          <w:lang w:val="ms-MY"/>
        </w:rPr>
      </w:pPr>
      <w:r w:rsidRPr="00B53C29">
        <w:rPr>
          <w:rFonts w:asciiTheme="majorBidi" w:eastAsia="Times New Roman" w:hAnsiTheme="majorBidi" w:cs="Times New Roman"/>
          <w:sz w:val="24"/>
          <w:szCs w:val="24"/>
          <w:lang w:val="ms-MY"/>
        </w:rPr>
        <w:t xml:space="preserve">Data dianalisis menggunakan perisian SPSS yang melibatkan dua jenis statistik iaitu deskriptif dan interen. Analisis statistik digunakan untuk memaparkan data secara deskriptif dalam bentuk min dan peratus. Manakala statistik interen menggunakan Ujian ANCOVA. Hasil kajian kualitatif pula dianalisis menggunakan kaedah </w:t>
      </w:r>
      <w:r w:rsidRPr="002356FC">
        <w:rPr>
          <w:rFonts w:asciiTheme="majorBidi" w:eastAsia="Times New Roman" w:hAnsiTheme="majorBidi" w:cs="Times New Roman"/>
          <w:i/>
          <w:sz w:val="24"/>
          <w:szCs w:val="24"/>
          <w:lang w:val="ms-MY"/>
        </w:rPr>
        <w:t>open coding, clustering, category</w:t>
      </w:r>
      <w:r w:rsidRPr="00B53C29">
        <w:rPr>
          <w:rFonts w:asciiTheme="majorBidi" w:eastAsia="Times New Roman" w:hAnsiTheme="majorBidi" w:cs="Times New Roman"/>
          <w:sz w:val="24"/>
          <w:szCs w:val="24"/>
          <w:lang w:val="ms-MY"/>
        </w:rPr>
        <w:t xml:space="preserve"> dan </w:t>
      </w:r>
      <w:r w:rsidRPr="002356FC">
        <w:rPr>
          <w:rFonts w:asciiTheme="majorBidi" w:eastAsia="Times New Roman" w:hAnsiTheme="majorBidi" w:cs="Times New Roman"/>
          <w:i/>
          <w:sz w:val="24"/>
          <w:szCs w:val="24"/>
          <w:lang w:val="ms-MY"/>
        </w:rPr>
        <w:lastRenderedPageBreak/>
        <w:t xml:space="preserve">thematic </w:t>
      </w:r>
      <w:r w:rsidRPr="00B53C29">
        <w:rPr>
          <w:rFonts w:asciiTheme="majorBidi" w:eastAsia="Times New Roman" w:hAnsiTheme="majorBidi" w:cs="Times New Roman"/>
          <w:sz w:val="24"/>
          <w:szCs w:val="24"/>
          <w:lang w:val="ms-MY"/>
        </w:rPr>
        <w:t xml:space="preserve">secara manual. Penyertaan responden dalam kajian ini adalah sukarela dan tidak melibatkan paksaan, selain itu kerahsiaan responden dalam kajian akan dipastikan kerahsiaannya, responden boleh membantah jika tidak bersetuju dengan soal selidik dan temu bual yang ditanya, identiti mereka tidak didedahkan dalam kajian. </w:t>
      </w:r>
    </w:p>
    <w:p w14:paraId="70960667" w14:textId="77777777" w:rsidR="007913AC" w:rsidRPr="00B53C29" w:rsidRDefault="007913AC" w:rsidP="00A51710">
      <w:pPr>
        <w:spacing w:after="0" w:line="360" w:lineRule="auto"/>
        <w:jc w:val="both"/>
        <w:rPr>
          <w:rFonts w:asciiTheme="majorBidi" w:eastAsia="Times New Roman" w:hAnsiTheme="majorBidi" w:cs="Times New Roman"/>
          <w:sz w:val="24"/>
          <w:szCs w:val="24"/>
          <w:lang w:val="ms-MY"/>
        </w:rPr>
      </w:pPr>
    </w:p>
    <w:p w14:paraId="46809754" w14:textId="77777777" w:rsidR="007913AC" w:rsidRPr="00B53C29" w:rsidRDefault="007913AC" w:rsidP="00A51710">
      <w:pPr>
        <w:spacing w:after="0" w:line="360" w:lineRule="auto"/>
        <w:jc w:val="both"/>
        <w:rPr>
          <w:rFonts w:asciiTheme="majorBidi" w:eastAsia="Times New Roman" w:hAnsiTheme="majorBidi" w:cs="Times New Roman"/>
          <w:sz w:val="24"/>
          <w:szCs w:val="24"/>
          <w:lang w:val="ms-MY"/>
        </w:rPr>
      </w:pPr>
    </w:p>
    <w:p w14:paraId="4E3A395F" w14:textId="77777777" w:rsidR="007913AC" w:rsidRPr="00B53C29" w:rsidRDefault="007913AC" w:rsidP="007913AC">
      <w:pPr>
        <w:spacing w:after="0" w:line="240" w:lineRule="auto"/>
        <w:jc w:val="both"/>
        <w:rPr>
          <w:rFonts w:asciiTheme="majorBidi" w:eastAsia="Times New Roman" w:hAnsiTheme="majorBidi" w:cs="Times New Roman"/>
          <w:sz w:val="24"/>
          <w:szCs w:val="24"/>
          <w:lang w:val="ms-MY"/>
        </w:rPr>
      </w:pPr>
    </w:p>
    <w:p w14:paraId="2AB7D2C5" w14:textId="1FC22BEA" w:rsidR="007913AC" w:rsidRPr="00A95EF8" w:rsidRDefault="00A95EF8" w:rsidP="00A95EF8">
      <w:pPr>
        <w:keepNext/>
        <w:keepLines/>
        <w:spacing w:before="240" w:after="120" w:line="240" w:lineRule="auto"/>
        <w:jc w:val="both"/>
        <w:outlineLvl w:val="0"/>
        <w:rPr>
          <w:rFonts w:asciiTheme="majorBidi" w:eastAsiaTheme="majorEastAsia" w:hAnsiTheme="majorBidi" w:cstheme="majorBidi"/>
          <w:b/>
          <w:bCs/>
          <w:sz w:val="24"/>
          <w:szCs w:val="28"/>
          <w:lang w:val="ms-MY"/>
        </w:rPr>
      </w:pPr>
      <w:r>
        <w:rPr>
          <w:rFonts w:asciiTheme="majorBidi" w:eastAsiaTheme="majorEastAsia" w:hAnsiTheme="majorBidi" w:cstheme="majorBidi"/>
          <w:b/>
          <w:bCs/>
          <w:sz w:val="24"/>
          <w:szCs w:val="28"/>
          <w:lang w:val="ms-MY"/>
        </w:rPr>
        <w:t xml:space="preserve">4.0  HASIL KAJIAN DAN PERBINCANGAN </w:t>
      </w:r>
    </w:p>
    <w:p w14:paraId="691DA090" w14:textId="4E4C35E8" w:rsidR="007913AC" w:rsidRPr="00B53C29" w:rsidRDefault="00A95EF8" w:rsidP="00521596">
      <w:pPr>
        <w:spacing w:line="360" w:lineRule="auto"/>
        <w:jc w:val="both"/>
        <w:rPr>
          <w:rFonts w:ascii="Times New Roman" w:hAnsi="Times New Roman" w:cs="Times New Roman"/>
          <w:b/>
          <w:i/>
          <w:sz w:val="24"/>
          <w:szCs w:val="24"/>
          <w:lang w:val="ms-MY"/>
        </w:rPr>
      </w:pPr>
      <w:r>
        <w:rPr>
          <w:rFonts w:ascii="Times New Roman" w:hAnsi="Times New Roman" w:cs="Times New Roman"/>
          <w:b/>
          <w:i/>
          <w:sz w:val="24"/>
          <w:szCs w:val="24"/>
          <w:lang w:val="ms-MY"/>
        </w:rPr>
        <w:t>4</w:t>
      </w:r>
      <w:r w:rsidR="001124D1">
        <w:rPr>
          <w:rFonts w:ascii="Times New Roman" w:hAnsi="Times New Roman" w:cs="Times New Roman"/>
          <w:b/>
          <w:i/>
          <w:sz w:val="24"/>
          <w:szCs w:val="24"/>
          <w:lang w:val="ms-MY"/>
        </w:rPr>
        <w:t xml:space="preserve">.1 </w:t>
      </w:r>
      <w:r w:rsidR="007913AC" w:rsidRPr="00B53C29">
        <w:rPr>
          <w:rFonts w:ascii="Times New Roman" w:hAnsi="Times New Roman" w:cs="Times New Roman"/>
          <w:b/>
          <w:i/>
          <w:sz w:val="24"/>
          <w:szCs w:val="24"/>
          <w:lang w:val="ms-MY"/>
        </w:rPr>
        <w:t xml:space="preserve">Pemilikan Modal Sosial </w:t>
      </w:r>
    </w:p>
    <w:p w14:paraId="30A59BB7" w14:textId="77777777" w:rsidR="007913AC" w:rsidRPr="00B53C29" w:rsidRDefault="007913AC" w:rsidP="00521596">
      <w:pPr>
        <w:spacing w:line="360" w:lineRule="auto"/>
        <w:jc w:val="both"/>
        <w:rPr>
          <w:rFonts w:ascii="Times New Roman" w:eastAsia="Calibri" w:hAnsi="Times New Roman" w:cs="Times New Roman"/>
          <w:sz w:val="24"/>
          <w:szCs w:val="24"/>
          <w:lang w:val="ms-MY"/>
        </w:rPr>
      </w:pPr>
      <w:r w:rsidRPr="00B53C29">
        <w:rPr>
          <w:rFonts w:ascii="Times New Roman" w:eastAsia="Calibri" w:hAnsi="Times New Roman" w:cs="Times New Roman"/>
          <w:sz w:val="24"/>
          <w:szCs w:val="24"/>
          <w:lang w:val="ms-MY"/>
        </w:rPr>
        <w:t xml:space="preserve">Hasil kajian dipamerkan berasaskan objektif kajian iaitu pemilikan modal sosial ikatan, namun mempunyai dua perincian dalam dua aspek iaitu keakraban dan kekerapan berhubung responden dengan modal sosial ikatan yang diukur sebelum dan selepas responden memeluk agama Islam. Selain itu, hasil kajian juga dikukuhkan dengan hasil kajian kualitatif. Modal sosial ikatan merujuk kepada hubungan dengan individu yang akrab iaitu ahli keluarga yang terdiri daripada ayah, ibu, adik-beradik, suami atau isteri, dan saudara mara. Jadual 1 menunjukkan hasil kajian pemilikan dan kekerapan berhubung modal sosial ikatan sebelum dan selepas responden memeluk agama Islam. Bagi pemilikan modal sosial ikatan sebelum responden memeluk agama Islam, secara keseluruhan menunjukan mereka akrab (3.5). Modal sosial ikatan yang akrab dengan responden ialah ibu (4.0), adik-beradik (4.0), ayah (3.9) dan saudara mara (3.9). Selain itu, terdapat juga modal sosial ikatan yang tidak akrab, iaitu suami atau isteri responden. Berkenaan dengan kekerapan berhubung pula, secara keseluruhan responden kerap (3.5) berhubung dengan modal sosial ikatan sebelum memeluk agama Islam. Di mana responden kerap berhubung dengan ibu (4.0), adik-beradik (4.0), ayah (3.9) dan saudara mara (3.5). Sementara itu, bagi suami atau isteri responden, kadang-kadang (2.3) sahaja mereka berhubung. Hasil kajian ini jelas menunjukkan bahawa responden akrab dengan keluarga mereka sebelum memeluk agama Islam. Manakala hasil kajian kualitatif pula menunjukkan: </w:t>
      </w:r>
    </w:p>
    <w:p w14:paraId="5C53886E" w14:textId="77777777" w:rsidR="007913AC" w:rsidRPr="00B53C29" w:rsidRDefault="007913AC" w:rsidP="00521596">
      <w:pPr>
        <w:spacing w:line="360" w:lineRule="auto"/>
        <w:jc w:val="center"/>
        <w:rPr>
          <w:rFonts w:ascii="Times New Roman" w:eastAsia="Calibri" w:hAnsi="Times New Roman" w:cs="Times New Roman"/>
          <w:i/>
          <w:sz w:val="24"/>
          <w:szCs w:val="24"/>
          <w:lang w:val="ms-MY"/>
        </w:rPr>
      </w:pPr>
    </w:p>
    <w:p w14:paraId="0BA5D2B5" w14:textId="77777777" w:rsidR="007913AC" w:rsidRPr="00B53C29" w:rsidRDefault="007913AC" w:rsidP="00521596">
      <w:pPr>
        <w:spacing w:line="360" w:lineRule="auto"/>
        <w:jc w:val="both"/>
        <w:rPr>
          <w:rFonts w:ascii="Times New Roman" w:eastAsia="Calibri" w:hAnsi="Times New Roman" w:cs="Times New Roman"/>
          <w:i/>
          <w:sz w:val="24"/>
          <w:szCs w:val="24"/>
          <w:lang w:val="ms-MY"/>
        </w:rPr>
      </w:pPr>
      <w:r w:rsidRPr="00B53C29">
        <w:rPr>
          <w:rFonts w:ascii="Times New Roman" w:eastAsia="Calibri" w:hAnsi="Times New Roman" w:cs="Times New Roman"/>
          <w:i/>
          <w:sz w:val="24"/>
          <w:szCs w:val="24"/>
          <w:lang w:val="ms-MY"/>
        </w:rPr>
        <w:t>“Dulu sebelum memeluk Islam selalu keluar sekali. sentiasa bersama. Keluar makan....tetapi selepas memeluk Islam jadi susah dah. Nak keluar sekali macam mana.....nak makan macam mana.” (Informan)</w:t>
      </w:r>
    </w:p>
    <w:p w14:paraId="73912F0F" w14:textId="77777777" w:rsidR="007913AC" w:rsidRPr="00B53C29" w:rsidRDefault="007913AC" w:rsidP="00521596">
      <w:pPr>
        <w:spacing w:line="360" w:lineRule="auto"/>
        <w:jc w:val="both"/>
        <w:rPr>
          <w:rFonts w:ascii="Times New Roman" w:eastAsia="Calibri" w:hAnsi="Times New Roman" w:cs="Times New Roman"/>
          <w:sz w:val="24"/>
          <w:szCs w:val="24"/>
          <w:lang w:val="ms-MY"/>
        </w:rPr>
      </w:pPr>
    </w:p>
    <w:p w14:paraId="7DB077C4" w14:textId="21D1BFE4" w:rsidR="007913AC" w:rsidRDefault="007913AC" w:rsidP="00521596">
      <w:pPr>
        <w:spacing w:line="360" w:lineRule="auto"/>
        <w:jc w:val="both"/>
        <w:rPr>
          <w:rFonts w:ascii="Times New Roman" w:eastAsia="Calibri" w:hAnsi="Times New Roman" w:cs="Times New Roman"/>
          <w:sz w:val="24"/>
          <w:szCs w:val="24"/>
          <w:lang w:val="ms-MY"/>
        </w:rPr>
      </w:pPr>
      <w:r w:rsidRPr="00B53C29">
        <w:rPr>
          <w:rFonts w:ascii="Times New Roman" w:eastAsia="Calibri" w:hAnsi="Times New Roman" w:cs="Times New Roman"/>
          <w:sz w:val="24"/>
          <w:szCs w:val="24"/>
          <w:lang w:val="ms-MY"/>
        </w:rPr>
        <w:t xml:space="preserve">Wakil informan menjelaskan bahawa komuniti Cina akrab dengan keluarga dan dapat diperhatikan melalui kebersamaan mereka dalam melakukan aktiviti seperti makan bersama. Keakraban komuniti Cina sebelum memeluk Islam ini selari dengan amalan keluarga Cina yang sememangnya mengamalkan  keluarga </w:t>
      </w:r>
      <w:r w:rsidRPr="00B53C29">
        <w:rPr>
          <w:rFonts w:ascii="Times New Roman" w:eastAsia="Calibri" w:hAnsi="Times New Roman" w:cs="Times New Roman"/>
          <w:i/>
          <w:sz w:val="24"/>
          <w:szCs w:val="24"/>
          <w:lang w:val="ms-MY"/>
        </w:rPr>
        <w:t xml:space="preserve">conjugal, </w:t>
      </w:r>
      <w:r w:rsidRPr="00B53C29">
        <w:rPr>
          <w:rFonts w:ascii="Times New Roman" w:eastAsia="Calibri" w:hAnsi="Times New Roman" w:cs="Times New Roman"/>
          <w:sz w:val="24"/>
          <w:szCs w:val="24"/>
          <w:lang w:val="ms-MY"/>
        </w:rPr>
        <w:t xml:space="preserve">iaitu keluarga yang mempunyai hubungan rapat sesama mereka dan boleh mendapatkan pertolongan daripada saudara mara bila diperlukan (Novel Lyndon, 2014). Manakala Hanapi Dollah (2007) menyatakan saling ketergantungan dalam keluarga merupakan tabiat Cina Kelantan di mana mereka saling tolong-menolong dan hormat-menghormati antara satu sama lain dan hubungan mereka akrab. Maka tidak hairanlah responden mempunyai keakraban yang kuat dan perhubungan mereka kerap dengan ahli keluarga sebelum memeluk Islam. Walaupun begitu hubungan dengan suami atau isteri sebelum memeluk agama Islam lagi sudah menunjukkan mereka tidak akrab. Faktor ini disebabkan oleh keinginan responden untuk memeluk agama Islam yang menyebabkan mereka perlu berpisah dengan suami atau isteri jika tidak turut memeluk agama Islam. Menurut Syukri Yeoh dan Osman (2004) Cina yang memeluk agama Islam terpaksa menceraikan isteri atau berpisah dengan suami yang belum memeluk agama Islam. </w:t>
      </w:r>
    </w:p>
    <w:p w14:paraId="06BB4A60" w14:textId="43C33F37" w:rsidR="00521596" w:rsidRDefault="00521596" w:rsidP="00521596">
      <w:pPr>
        <w:spacing w:line="360" w:lineRule="auto"/>
        <w:jc w:val="both"/>
        <w:rPr>
          <w:rFonts w:ascii="Times New Roman" w:eastAsia="Calibri" w:hAnsi="Times New Roman" w:cs="Times New Roman"/>
          <w:sz w:val="24"/>
          <w:szCs w:val="24"/>
          <w:lang w:val="ms-MY"/>
        </w:rPr>
      </w:pPr>
    </w:p>
    <w:p w14:paraId="345D02B0" w14:textId="1240B5ED" w:rsidR="00521596" w:rsidRDefault="00521596" w:rsidP="00521596">
      <w:pPr>
        <w:spacing w:line="360" w:lineRule="auto"/>
        <w:jc w:val="both"/>
        <w:rPr>
          <w:rFonts w:ascii="Times New Roman" w:eastAsia="Calibri" w:hAnsi="Times New Roman" w:cs="Times New Roman"/>
          <w:sz w:val="24"/>
          <w:szCs w:val="24"/>
          <w:lang w:val="ms-MY"/>
        </w:rPr>
      </w:pPr>
    </w:p>
    <w:p w14:paraId="57900935" w14:textId="6D9A7CDE" w:rsidR="00521596" w:rsidRDefault="00521596" w:rsidP="00521596">
      <w:pPr>
        <w:spacing w:line="360" w:lineRule="auto"/>
        <w:jc w:val="both"/>
        <w:rPr>
          <w:rFonts w:ascii="Times New Roman" w:eastAsia="Calibri" w:hAnsi="Times New Roman" w:cs="Times New Roman"/>
          <w:sz w:val="24"/>
          <w:szCs w:val="24"/>
          <w:lang w:val="ms-MY"/>
        </w:rPr>
      </w:pPr>
    </w:p>
    <w:p w14:paraId="5AB53AAC" w14:textId="77777777" w:rsidR="00521596" w:rsidRPr="00B53C29" w:rsidRDefault="00521596" w:rsidP="00521596">
      <w:pPr>
        <w:spacing w:line="360" w:lineRule="auto"/>
        <w:jc w:val="both"/>
        <w:rPr>
          <w:rFonts w:ascii="Times New Roman" w:eastAsia="Calibri" w:hAnsi="Times New Roman" w:cs="Times New Roman"/>
          <w:sz w:val="24"/>
          <w:szCs w:val="24"/>
          <w:lang w:val="ms-MY"/>
        </w:rPr>
      </w:pPr>
    </w:p>
    <w:p w14:paraId="01D89291" w14:textId="3D8566F9" w:rsidR="007913AC" w:rsidRPr="00A95EF8" w:rsidRDefault="007913AC" w:rsidP="00A95EF8">
      <w:pPr>
        <w:spacing w:line="240" w:lineRule="auto"/>
        <w:ind w:left="709"/>
        <w:jc w:val="center"/>
        <w:rPr>
          <w:rFonts w:ascii="Times New Roman" w:eastAsia="Calibri" w:hAnsi="Times New Roman" w:cs="Times New Roman"/>
          <w:sz w:val="24"/>
          <w:szCs w:val="24"/>
          <w:lang w:val="ms-MY"/>
        </w:rPr>
      </w:pPr>
      <w:r w:rsidRPr="00A95EF8">
        <w:rPr>
          <w:rFonts w:ascii="Times New Roman" w:eastAsia="Calibri" w:hAnsi="Times New Roman" w:cs="Times New Roman"/>
          <w:sz w:val="24"/>
          <w:szCs w:val="24"/>
          <w:lang w:val="ms-MY"/>
        </w:rPr>
        <w:lastRenderedPageBreak/>
        <w:t>Jadual 1. Pemilikan dan kekerapan berhubung dalam modal sosial ikatan sebelum dan selepas memeluk Islam (N=75)</w:t>
      </w:r>
    </w:p>
    <w:tbl>
      <w:tblPr>
        <w:tblStyle w:val="TableGrid2"/>
        <w:tblpPr w:leftFromText="180" w:rightFromText="180" w:vertAnchor="text" w:horzAnchor="margin" w:tblpXSpec="center" w:tblpY="50"/>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276"/>
        <w:gridCol w:w="1417"/>
        <w:gridCol w:w="1276"/>
        <w:gridCol w:w="1559"/>
      </w:tblGrid>
      <w:tr w:rsidR="007913AC" w:rsidRPr="00A95EF8" w14:paraId="5B2D2D73" w14:textId="77777777" w:rsidTr="0010777E">
        <w:tc>
          <w:tcPr>
            <w:tcW w:w="1843" w:type="dxa"/>
            <w:tcBorders>
              <w:top w:val="single" w:sz="4" w:space="0" w:color="auto"/>
            </w:tcBorders>
          </w:tcPr>
          <w:p w14:paraId="6C7B7B72" w14:textId="77777777" w:rsidR="007913AC" w:rsidRPr="00A95EF8" w:rsidRDefault="007913AC" w:rsidP="0010777E">
            <w:pPr>
              <w:rPr>
                <w:rFonts w:ascii="Times New Roman" w:eastAsia="Calibri" w:hAnsi="Times New Roman"/>
                <w:sz w:val="20"/>
                <w:szCs w:val="20"/>
                <w:lang w:val="ms-MY"/>
              </w:rPr>
            </w:pPr>
          </w:p>
        </w:tc>
        <w:tc>
          <w:tcPr>
            <w:tcW w:w="2693" w:type="dxa"/>
            <w:gridSpan w:val="2"/>
            <w:tcBorders>
              <w:top w:val="single" w:sz="4" w:space="0" w:color="auto"/>
              <w:bottom w:val="single" w:sz="4" w:space="0" w:color="auto"/>
              <w:right w:val="single" w:sz="4" w:space="0" w:color="auto"/>
            </w:tcBorders>
          </w:tcPr>
          <w:p w14:paraId="583BBC27" w14:textId="77777777" w:rsidR="007913AC" w:rsidRPr="00A95EF8" w:rsidRDefault="007913AC" w:rsidP="0010777E">
            <w:pPr>
              <w:jc w:val="center"/>
              <w:rPr>
                <w:rFonts w:ascii="Times New Roman" w:eastAsia="Calibri" w:hAnsi="Times New Roman"/>
                <w:sz w:val="20"/>
                <w:szCs w:val="20"/>
                <w:lang w:val="ms-MY"/>
              </w:rPr>
            </w:pPr>
            <w:r w:rsidRPr="00A95EF8">
              <w:rPr>
                <w:rFonts w:ascii="Times New Roman" w:eastAsia="Calibri" w:hAnsi="Times New Roman"/>
                <w:sz w:val="20"/>
                <w:szCs w:val="20"/>
                <w:lang w:val="ms-MY"/>
              </w:rPr>
              <w:t xml:space="preserve">Sebelum memeluk Islam </w:t>
            </w:r>
          </w:p>
        </w:tc>
        <w:tc>
          <w:tcPr>
            <w:tcW w:w="2835" w:type="dxa"/>
            <w:gridSpan w:val="2"/>
            <w:tcBorders>
              <w:top w:val="single" w:sz="4" w:space="0" w:color="auto"/>
              <w:left w:val="single" w:sz="4" w:space="0" w:color="auto"/>
              <w:bottom w:val="single" w:sz="4" w:space="0" w:color="auto"/>
            </w:tcBorders>
          </w:tcPr>
          <w:p w14:paraId="06ADF8C4" w14:textId="77777777" w:rsidR="007913AC" w:rsidRPr="00A95EF8" w:rsidRDefault="007913AC" w:rsidP="0010777E">
            <w:pPr>
              <w:jc w:val="center"/>
              <w:rPr>
                <w:rFonts w:ascii="Times New Roman" w:eastAsia="Calibri" w:hAnsi="Times New Roman"/>
                <w:sz w:val="20"/>
                <w:szCs w:val="20"/>
                <w:lang w:val="ms-MY"/>
              </w:rPr>
            </w:pPr>
            <w:r w:rsidRPr="00A95EF8">
              <w:rPr>
                <w:rFonts w:ascii="Times New Roman" w:eastAsia="Calibri" w:hAnsi="Times New Roman"/>
                <w:sz w:val="20"/>
                <w:szCs w:val="20"/>
                <w:lang w:val="ms-MY"/>
              </w:rPr>
              <w:t xml:space="preserve">Selepas memeluk Islam </w:t>
            </w:r>
          </w:p>
        </w:tc>
      </w:tr>
      <w:tr w:rsidR="007913AC" w:rsidRPr="00A95EF8" w14:paraId="592E633F" w14:textId="77777777" w:rsidTr="0010777E">
        <w:tc>
          <w:tcPr>
            <w:tcW w:w="1843" w:type="dxa"/>
            <w:tcBorders>
              <w:bottom w:val="single" w:sz="4" w:space="0" w:color="auto"/>
            </w:tcBorders>
          </w:tcPr>
          <w:p w14:paraId="6F358218" w14:textId="77777777" w:rsidR="007913AC" w:rsidRPr="00A95EF8" w:rsidRDefault="007913AC" w:rsidP="0010777E">
            <w:pPr>
              <w:rPr>
                <w:rFonts w:ascii="Times New Roman" w:eastAsia="Calibri" w:hAnsi="Times New Roman"/>
                <w:sz w:val="20"/>
                <w:szCs w:val="20"/>
                <w:lang w:val="ms-MY"/>
              </w:rPr>
            </w:pPr>
            <w:r w:rsidRPr="00A95EF8">
              <w:rPr>
                <w:rFonts w:ascii="Times New Roman" w:eastAsia="Calibri" w:hAnsi="Times New Roman"/>
                <w:sz w:val="20"/>
                <w:szCs w:val="20"/>
                <w:lang w:val="ms-MY"/>
              </w:rPr>
              <w:t>Modal Sosial Ikatan</w:t>
            </w:r>
          </w:p>
        </w:tc>
        <w:tc>
          <w:tcPr>
            <w:tcW w:w="1276" w:type="dxa"/>
            <w:tcBorders>
              <w:top w:val="single" w:sz="4" w:space="0" w:color="auto"/>
              <w:bottom w:val="single" w:sz="4" w:space="0" w:color="auto"/>
            </w:tcBorders>
          </w:tcPr>
          <w:p w14:paraId="72CCD371" w14:textId="77777777" w:rsidR="007913AC" w:rsidRPr="00A95EF8" w:rsidRDefault="007913AC" w:rsidP="0010777E">
            <w:pPr>
              <w:jc w:val="center"/>
              <w:rPr>
                <w:rFonts w:ascii="Times New Roman" w:eastAsia="Calibri" w:hAnsi="Times New Roman"/>
                <w:sz w:val="20"/>
                <w:szCs w:val="20"/>
                <w:lang w:val="ms-MY"/>
              </w:rPr>
            </w:pPr>
            <w:r w:rsidRPr="00A95EF8">
              <w:rPr>
                <w:rFonts w:ascii="Times New Roman" w:eastAsia="Calibri" w:hAnsi="Times New Roman"/>
                <w:sz w:val="20"/>
                <w:szCs w:val="20"/>
                <w:lang w:val="ms-MY"/>
              </w:rPr>
              <w:t>*Min Keakraban</w:t>
            </w:r>
          </w:p>
        </w:tc>
        <w:tc>
          <w:tcPr>
            <w:tcW w:w="1417" w:type="dxa"/>
            <w:tcBorders>
              <w:top w:val="single" w:sz="4" w:space="0" w:color="auto"/>
              <w:bottom w:val="single" w:sz="4" w:space="0" w:color="auto"/>
              <w:right w:val="single" w:sz="4" w:space="0" w:color="auto"/>
            </w:tcBorders>
          </w:tcPr>
          <w:p w14:paraId="36D898A7" w14:textId="77777777" w:rsidR="007913AC" w:rsidRPr="00A95EF8" w:rsidRDefault="007913AC" w:rsidP="0010777E">
            <w:pPr>
              <w:jc w:val="center"/>
              <w:rPr>
                <w:rFonts w:ascii="Times New Roman" w:eastAsia="Calibri" w:hAnsi="Times New Roman"/>
                <w:sz w:val="20"/>
                <w:szCs w:val="20"/>
                <w:lang w:val="ms-MY"/>
              </w:rPr>
            </w:pPr>
            <w:r w:rsidRPr="00A95EF8">
              <w:rPr>
                <w:rFonts w:ascii="Times New Roman" w:eastAsia="Calibri" w:hAnsi="Times New Roman"/>
                <w:sz w:val="20"/>
                <w:szCs w:val="20"/>
                <w:lang w:val="ms-MY"/>
              </w:rPr>
              <w:t>**Min Kekerapan Berhubung</w:t>
            </w:r>
          </w:p>
        </w:tc>
        <w:tc>
          <w:tcPr>
            <w:tcW w:w="1276" w:type="dxa"/>
            <w:tcBorders>
              <w:top w:val="single" w:sz="4" w:space="0" w:color="auto"/>
              <w:left w:val="single" w:sz="4" w:space="0" w:color="auto"/>
              <w:bottom w:val="single" w:sz="4" w:space="0" w:color="auto"/>
            </w:tcBorders>
          </w:tcPr>
          <w:p w14:paraId="2E650939" w14:textId="77777777" w:rsidR="007913AC" w:rsidRPr="00A95EF8" w:rsidRDefault="007913AC" w:rsidP="0010777E">
            <w:pPr>
              <w:jc w:val="center"/>
              <w:rPr>
                <w:rFonts w:ascii="Times New Roman" w:eastAsia="Calibri" w:hAnsi="Times New Roman"/>
                <w:sz w:val="20"/>
                <w:szCs w:val="20"/>
                <w:lang w:val="ms-MY"/>
              </w:rPr>
            </w:pPr>
            <w:r w:rsidRPr="00A95EF8">
              <w:rPr>
                <w:rFonts w:ascii="Times New Roman" w:eastAsia="Calibri" w:hAnsi="Times New Roman"/>
                <w:sz w:val="20"/>
                <w:szCs w:val="20"/>
                <w:lang w:val="ms-MY"/>
              </w:rPr>
              <w:t>Min Keakraban</w:t>
            </w:r>
          </w:p>
        </w:tc>
        <w:tc>
          <w:tcPr>
            <w:tcW w:w="1559" w:type="dxa"/>
            <w:tcBorders>
              <w:top w:val="single" w:sz="4" w:space="0" w:color="auto"/>
              <w:bottom w:val="single" w:sz="4" w:space="0" w:color="auto"/>
            </w:tcBorders>
          </w:tcPr>
          <w:p w14:paraId="751F9F47" w14:textId="77777777" w:rsidR="007913AC" w:rsidRPr="00A95EF8" w:rsidRDefault="007913AC" w:rsidP="0010777E">
            <w:pPr>
              <w:jc w:val="center"/>
              <w:rPr>
                <w:rFonts w:ascii="Times New Roman" w:eastAsia="Calibri" w:hAnsi="Times New Roman"/>
                <w:sz w:val="20"/>
                <w:szCs w:val="20"/>
                <w:lang w:val="ms-MY"/>
              </w:rPr>
            </w:pPr>
            <w:r w:rsidRPr="00A95EF8">
              <w:rPr>
                <w:rFonts w:ascii="Times New Roman" w:eastAsia="Calibri" w:hAnsi="Times New Roman"/>
                <w:sz w:val="20"/>
                <w:szCs w:val="20"/>
                <w:lang w:val="ms-MY"/>
              </w:rPr>
              <w:t>Min Kekerapan Berhubung</w:t>
            </w:r>
          </w:p>
        </w:tc>
      </w:tr>
      <w:tr w:rsidR="007913AC" w:rsidRPr="00A95EF8" w14:paraId="09E3C214" w14:textId="77777777" w:rsidTr="0010777E">
        <w:tc>
          <w:tcPr>
            <w:tcW w:w="1843" w:type="dxa"/>
            <w:tcBorders>
              <w:top w:val="single" w:sz="4" w:space="0" w:color="auto"/>
            </w:tcBorders>
          </w:tcPr>
          <w:p w14:paraId="63A25CD9" w14:textId="77777777" w:rsidR="007913AC" w:rsidRPr="00A95EF8" w:rsidRDefault="007913AC" w:rsidP="0010777E">
            <w:pPr>
              <w:rPr>
                <w:rFonts w:ascii="Times New Roman" w:eastAsia="Calibri" w:hAnsi="Times New Roman"/>
                <w:sz w:val="20"/>
                <w:szCs w:val="20"/>
                <w:lang w:val="ms-MY"/>
              </w:rPr>
            </w:pPr>
            <w:r w:rsidRPr="00A95EF8">
              <w:rPr>
                <w:rFonts w:ascii="Times New Roman" w:eastAsia="Calibri" w:hAnsi="Times New Roman"/>
                <w:sz w:val="20"/>
                <w:szCs w:val="20"/>
                <w:lang w:val="ms-MY"/>
              </w:rPr>
              <w:t xml:space="preserve">Ayah </w:t>
            </w:r>
          </w:p>
        </w:tc>
        <w:tc>
          <w:tcPr>
            <w:tcW w:w="1276" w:type="dxa"/>
            <w:tcBorders>
              <w:top w:val="single" w:sz="4" w:space="0" w:color="auto"/>
            </w:tcBorders>
          </w:tcPr>
          <w:p w14:paraId="66D0DF6D" w14:textId="77777777" w:rsidR="007913AC" w:rsidRPr="00A95EF8" w:rsidRDefault="007913AC" w:rsidP="0010777E">
            <w:pPr>
              <w:jc w:val="center"/>
              <w:rPr>
                <w:rFonts w:ascii="Times New Roman" w:eastAsia="Calibri" w:hAnsi="Times New Roman"/>
                <w:sz w:val="20"/>
                <w:szCs w:val="20"/>
                <w:lang w:val="ms-MY"/>
              </w:rPr>
            </w:pPr>
            <w:r w:rsidRPr="00A95EF8">
              <w:rPr>
                <w:rFonts w:ascii="Times New Roman" w:eastAsia="Calibri" w:hAnsi="Times New Roman"/>
                <w:sz w:val="20"/>
                <w:szCs w:val="20"/>
                <w:lang w:val="ms-MY"/>
              </w:rPr>
              <w:t>3.9</w:t>
            </w:r>
          </w:p>
        </w:tc>
        <w:tc>
          <w:tcPr>
            <w:tcW w:w="1417" w:type="dxa"/>
            <w:tcBorders>
              <w:top w:val="single" w:sz="4" w:space="0" w:color="auto"/>
              <w:right w:val="single" w:sz="4" w:space="0" w:color="auto"/>
            </w:tcBorders>
          </w:tcPr>
          <w:p w14:paraId="76183654" w14:textId="77777777" w:rsidR="007913AC" w:rsidRPr="00A95EF8" w:rsidRDefault="007913AC" w:rsidP="0010777E">
            <w:pPr>
              <w:jc w:val="center"/>
              <w:rPr>
                <w:rFonts w:ascii="Times New Roman" w:eastAsia="Calibri" w:hAnsi="Times New Roman"/>
                <w:sz w:val="20"/>
                <w:szCs w:val="20"/>
                <w:lang w:val="ms-MY"/>
              </w:rPr>
            </w:pPr>
            <w:r w:rsidRPr="00A95EF8">
              <w:rPr>
                <w:rFonts w:ascii="Times New Roman" w:eastAsia="Calibri" w:hAnsi="Times New Roman"/>
                <w:sz w:val="20"/>
                <w:szCs w:val="20"/>
                <w:lang w:val="ms-MY"/>
              </w:rPr>
              <w:t>3.9</w:t>
            </w:r>
          </w:p>
        </w:tc>
        <w:tc>
          <w:tcPr>
            <w:tcW w:w="1276" w:type="dxa"/>
            <w:tcBorders>
              <w:top w:val="single" w:sz="4" w:space="0" w:color="auto"/>
              <w:left w:val="single" w:sz="4" w:space="0" w:color="auto"/>
            </w:tcBorders>
          </w:tcPr>
          <w:p w14:paraId="19E93DA3" w14:textId="77777777" w:rsidR="007913AC" w:rsidRPr="00A95EF8" w:rsidRDefault="007913AC" w:rsidP="0010777E">
            <w:pPr>
              <w:jc w:val="center"/>
              <w:rPr>
                <w:rFonts w:ascii="Times New Roman" w:eastAsia="Calibri" w:hAnsi="Times New Roman"/>
                <w:sz w:val="20"/>
                <w:szCs w:val="20"/>
                <w:lang w:val="ms-MY"/>
              </w:rPr>
            </w:pPr>
            <w:r w:rsidRPr="00A95EF8">
              <w:rPr>
                <w:rFonts w:ascii="Times New Roman" w:eastAsia="Calibri" w:hAnsi="Times New Roman"/>
                <w:sz w:val="20"/>
                <w:szCs w:val="20"/>
                <w:lang w:val="ms-MY"/>
              </w:rPr>
              <w:t>2.7</w:t>
            </w:r>
          </w:p>
        </w:tc>
        <w:tc>
          <w:tcPr>
            <w:tcW w:w="1559" w:type="dxa"/>
            <w:tcBorders>
              <w:top w:val="single" w:sz="4" w:space="0" w:color="auto"/>
            </w:tcBorders>
          </w:tcPr>
          <w:p w14:paraId="23EE5947" w14:textId="77777777" w:rsidR="007913AC" w:rsidRPr="00A95EF8" w:rsidRDefault="007913AC" w:rsidP="0010777E">
            <w:pPr>
              <w:jc w:val="center"/>
              <w:rPr>
                <w:rFonts w:ascii="Times New Roman" w:eastAsia="Calibri" w:hAnsi="Times New Roman"/>
                <w:sz w:val="20"/>
                <w:szCs w:val="20"/>
                <w:lang w:val="ms-MY"/>
              </w:rPr>
            </w:pPr>
            <w:r w:rsidRPr="00A95EF8">
              <w:rPr>
                <w:rFonts w:ascii="Times New Roman" w:eastAsia="Calibri" w:hAnsi="Times New Roman"/>
                <w:sz w:val="20"/>
                <w:szCs w:val="20"/>
                <w:lang w:val="ms-MY"/>
              </w:rPr>
              <w:t>2.8</w:t>
            </w:r>
          </w:p>
        </w:tc>
      </w:tr>
      <w:tr w:rsidR="007913AC" w:rsidRPr="00A95EF8" w14:paraId="6B8BA15A" w14:textId="77777777" w:rsidTr="0010777E">
        <w:tc>
          <w:tcPr>
            <w:tcW w:w="1843" w:type="dxa"/>
          </w:tcPr>
          <w:p w14:paraId="01991F1C" w14:textId="77777777" w:rsidR="007913AC" w:rsidRPr="00A95EF8" w:rsidRDefault="007913AC" w:rsidP="0010777E">
            <w:pPr>
              <w:rPr>
                <w:rFonts w:ascii="Times New Roman" w:eastAsia="Calibri" w:hAnsi="Times New Roman"/>
                <w:sz w:val="20"/>
                <w:szCs w:val="20"/>
                <w:lang w:val="ms-MY"/>
              </w:rPr>
            </w:pPr>
            <w:r w:rsidRPr="00A95EF8">
              <w:rPr>
                <w:rFonts w:ascii="Times New Roman" w:eastAsia="Calibri" w:hAnsi="Times New Roman"/>
                <w:sz w:val="20"/>
                <w:szCs w:val="20"/>
                <w:lang w:val="ms-MY"/>
              </w:rPr>
              <w:t>Ibu</w:t>
            </w:r>
          </w:p>
        </w:tc>
        <w:tc>
          <w:tcPr>
            <w:tcW w:w="1276" w:type="dxa"/>
          </w:tcPr>
          <w:p w14:paraId="6A4B1E3B" w14:textId="77777777" w:rsidR="007913AC" w:rsidRPr="00A95EF8" w:rsidRDefault="007913AC" w:rsidP="0010777E">
            <w:pPr>
              <w:jc w:val="center"/>
              <w:rPr>
                <w:rFonts w:ascii="Times New Roman" w:eastAsia="Calibri" w:hAnsi="Times New Roman"/>
                <w:sz w:val="20"/>
                <w:szCs w:val="20"/>
                <w:lang w:val="ms-MY"/>
              </w:rPr>
            </w:pPr>
            <w:r w:rsidRPr="00A95EF8">
              <w:rPr>
                <w:rFonts w:ascii="Times New Roman" w:eastAsia="Calibri" w:hAnsi="Times New Roman"/>
                <w:sz w:val="20"/>
                <w:szCs w:val="20"/>
                <w:lang w:val="ms-MY"/>
              </w:rPr>
              <w:t>4.0</w:t>
            </w:r>
          </w:p>
        </w:tc>
        <w:tc>
          <w:tcPr>
            <w:tcW w:w="1417" w:type="dxa"/>
            <w:tcBorders>
              <w:right w:val="single" w:sz="4" w:space="0" w:color="auto"/>
            </w:tcBorders>
          </w:tcPr>
          <w:p w14:paraId="5ED3ABF4" w14:textId="77777777" w:rsidR="007913AC" w:rsidRPr="00A95EF8" w:rsidRDefault="007913AC" w:rsidP="0010777E">
            <w:pPr>
              <w:jc w:val="center"/>
              <w:rPr>
                <w:rFonts w:ascii="Times New Roman" w:eastAsia="Calibri" w:hAnsi="Times New Roman"/>
                <w:sz w:val="20"/>
                <w:szCs w:val="20"/>
                <w:lang w:val="ms-MY"/>
              </w:rPr>
            </w:pPr>
            <w:r w:rsidRPr="00A95EF8">
              <w:rPr>
                <w:rFonts w:ascii="Times New Roman" w:eastAsia="Calibri" w:hAnsi="Times New Roman"/>
                <w:sz w:val="20"/>
                <w:szCs w:val="20"/>
                <w:lang w:val="ms-MY"/>
              </w:rPr>
              <w:t>4.0</w:t>
            </w:r>
          </w:p>
        </w:tc>
        <w:tc>
          <w:tcPr>
            <w:tcW w:w="1276" w:type="dxa"/>
            <w:tcBorders>
              <w:left w:val="single" w:sz="4" w:space="0" w:color="auto"/>
            </w:tcBorders>
          </w:tcPr>
          <w:p w14:paraId="797891DE" w14:textId="77777777" w:rsidR="007913AC" w:rsidRPr="00A95EF8" w:rsidRDefault="007913AC" w:rsidP="0010777E">
            <w:pPr>
              <w:jc w:val="center"/>
              <w:rPr>
                <w:rFonts w:ascii="Times New Roman" w:eastAsia="Calibri" w:hAnsi="Times New Roman"/>
                <w:sz w:val="20"/>
                <w:szCs w:val="20"/>
                <w:lang w:val="ms-MY"/>
              </w:rPr>
            </w:pPr>
            <w:r w:rsidRPr="00A95EF8">
              <w:rPr>
                <w:rFonts w:ascii="Times New Roman" w:eastAsia="Calibri" w:hAnsi="Times New Roman"/>
                <w:sz w:val="20"/>
                <w:szCs w:val="20"/>
                <w:lang w:val="ms-MY"/>
              </w:rPr>
              <w:t>3.2</w:t>
            </w:r>
          </w:p>
        </w:tc>
        <w:tc>
          <w:tcPr>
            <w:tcW w:w="1559" w:type="dxa"/>
          </w:tcPr>
          <w:p w14:paraId="2180F6E0" w14:textId="77777777" w:rsidR="007913AC" w:rsidRPr="00A95EF8" w:rsidRDefault="007913AC" w:rsidP="0010777E">
            <w:pPr>
              <w:jc w:val="center"/>
              <w:rPr>
                <w:rFonts w:ascii="Times New Roman" w:eastAsia="Calibri" w:hAnsi="Times New Roman"/>
                <w:sz w:val="20"/>
                <w:szCs w:val="20"/>
                <w:lang w:val="ms-MY"/>
              </w:rPr>
            </w:pPr>
            <w:r w:rsidRPr="00A95EF8">
              <w:rPr>
                <w:rFonts w:ascii="Times New Roman" w:eastAsia="Calibri" w:hAnsi="Times New Roman"/>
                <w:sz w:val="20"/>
                <w:szCs w:val="20"/>
                <w:lang w:val="ms-MY"/>
              </w:rPr>
              <w:t>3.2</w:t>
            </w:r>
          </w:p>
        </w:tc>
      </w:tr>
      <w:tr w:rsidR="007913AC" w:rsidRPr="00A95EF8" w14:paraId="671E337A" w14:textId="77777777" w:rsidTr="0010777E">
        <w:tc>
          <w:tcPr>
            <w:tcW w:w="1843" w:type="dxa"/>
          </w:tcPr>
          <w:p w14:paraId="66B9D974" w14:textId="77777777" w:rsidR="007913AC" w:rsidRPr="00A95EF8" w:rsidRDefault="007913AC" w:rsidP="0010777E">
            <w:pPr>
              <w:rPr>
                <w:rFonts w:ascii="Times New Roman" w:eastAsia="Calibri" w:hAnsi="Times New Roman"/>
                <w:sz w:val="20"/>
                <w:szCs w:val="20"/>
                <w:lang w:val="ms-MY"/>
              </w:rPr>
            </w:pPr>
            <w:r w:rsidRPr="00A95EF8">
              <w:rPr>
                <w:rFonts w:ascii="Times New Roman" w:eastAsia="Calibri" w:hAnsi="Times New Roman"/>
                <w:sz w:val="20"/>
                <w:szCs w:val="20"/>
                <w:lang w:val="ms-MY"/>
              </w:rPr>
              <w:t>Adik Beradik</w:t>
            </w:r>
          </w:p>
        </w:tc>
        <w:tc>
          <w:tcPr>
            <w:tcW w:w="1276" w:type="dxa"/>
          </w:tcPr>
          <w:p w14:paraId="02D81661" w14:textId="77777777" w:rsidR="007913AC" w:rsidRPr="00A95EF8" w:rsidRDefault="007913AC" w:rsidP="0010777E">
            <w:pPr>
              <w:jc w:val="center"/>
              <w:rPr>
                <w:rFonts w:ascii="Times New Roman" w:eastAsia="Calibri" w:hAnsi="Times New Roman"/>
                <w:sz w:val="20"/>
                <w:szCs w:val="20"/>
                <w:lang w:val="ms-MY"/>
              </w:rPr>
            </w:pPr>
            <w:r w:rsidRPr="00A95EF8">
              <w:rPr>
                <w:rFonts w:ascii="Times New Roman" w:eastAsia="Calibri" w:hAnsi="Times New Roman"/>
                <w:sz w:val="20"/>
                <w:szCs w:val="20"/>
                <w:lang w:val="ms-MY"/>
              </w:rPr>
              <w:t>4.0</w:t>
            </w:r>
          </w:p>
        </w:tc>
        <w:tc>
          <w:tcPr>
            <w:tcW w:w="1417" w:type="dxa"/>
            <w:tcBorders>
              <w:right w:val="single" w:sz="4" w:space="0" w:color="auto"/>
            </w:tcBorders>
          </w:tcPr>
          <w:p w14:paraId="36DF358B" w14:textId="77777777" w:rsidR="007913AC" w:rsidRPr="00A95EF8" w:rsidRDefault="007913AC" w:rsidP="0010777E">
            <w:pPr>
              <w:jc w:val="center"/>
              <w:rPr>
                <w:rFonts w:ascii="Times New Roman" w:eastAsia="Calibri" w:hAnsi="Times New Roman"/>
                <w:sz w:val="20"/>
                <w:szCs w:val="20"/>
                <w:lang w:val="ms-MY"/>
              </w:rPr>
            </w:pPr>
            <w:r w:rsidRPr="00A95EF8">
              <w:rPr>
                <w:rFonts w:ascii="Times New Roman" w:eastAsia="Calibri" w:hAnsi="Times New Roman"/>
                <w:sz w:val="20"/>
                <w:szCs w:val="20"/>
                <w:lang w:val="ms-MY"/>
              </w:rPr>
              <w:t>4.0</w:t>
            </w:r>
          </w:p>
        </w:tc>
        <w:tc>
          <w:tcPr>
            <w:tcW w:w="1276" w:type="dxa"/>
            <w:tcBorders>
              <w:left w:val="single" w:sz="4" w:space="0" w:color="auto"/>
            </w:tcBorders>
          </w:tcPr>
          <w:p w14:paraId="2C15F914" w14:textId="77777777" w:rsidR="007913AC" w:rsidRPr="00A95EF8" w:rsidRDefault="007913AC" w:rsidP="0010777E">
            <w:pPr>
              <w:jc w:val="center"/>
              <w:rPr>
                <w:rFonts w:ascii="Times New Roman" w:eastAsia="Calibri" w:hAnsi="Times New Roman"/>
                <w:sz w:val="20"/>
                <w:szCs w:val="20"/>
                <w:lang w:val="ms-MY"/>
              </w:rPr>
            </w:pPr>
            <w:r w:rsidRPr="00A95EF8">
              <w:rPr>
                <w:rFonts w:ascii="Times New Roman" w:eastAsia="Calibri" w:hAnsi="Times New Roman"/>
                <w:sz w:val="20"/>
                <w:szCs w:val="20"/>
                <w:lang w:val="ms-MY"/>
              </w:rPr>
              <w:t>3.3</w:t>
            </w:r>
          </w:p>
        </w:tc>
        <w:tc>
          <w:tcPr>
            <w:tcW w:w="1559" w:type="dxa"/>
          </w:tcPr>
          <w:p w14:paraId="62014E1A" w14:textId="77777777" w:rsidR="007913AC" w:rsidRPr="00A95EF8" w:rsidRDefault="007913AC" w:rsidP="0010777E">
            <w:pPr>
              <w:jc w:val="center"/>
              <w:rPr>
                <w:rFonts w:ascii="Times New Roman" w:eastAsia="Calibri" w:hAnsi="Times New Roman"/>
                <w:sz w:val="20"/>
                <w:szCs w:val="20"/>
                <w:lang w:val="ms-MY"/>
              </w:rPr>
            </w:pPr>
            <w:r w:rsidRPr="00A95EF8">
              <w:rPr>
                <w:rFonts w:ascii="Times New Roman" w:eastAsia="Calibri" w:hAnsi="Times New Roman"/>
                <w:sz w:val="20"/>
                <w:szCs w:val="20"/>
                <w:lang w:val="ms-MY"/>
              </w:rPr>
              <w:t>3.4</w:t>
            </w:r>
          </w:p>
        </w:tc>
      </w:tr>
      <w:tr w:rsidR="007913AC" w:rsidRPr="00A95EF8" w14:paraId="2BA601A0" w14:textId="77777777" w:rsidTr="0010777E">
        <w:tc>
          <w:tcPr>
            <w:tcW w:w="1843" w:type="dxa"/>
          </w:tcPr>
          <w:p w14:paraId="0CA9CF14" w14:textId="77777777" w:rsidR="007913AC" w:rsidRPr="00A95EF8" w:rsidRDefault="007913AC" w:rsidP="0010777E">
            <w:pPr>
              <w:rPr>
                <w:rFonts w:ascii="Times New Roman" w:eastAsia="Calibri" w:hAnsi="Times New Roman"/>
                <w:sz w:val="20"/>
                <w:szCs w:val="20"/>
                <w:lang w:val="ms-MY"/>
              </w:rPr>
            </w:pPr>
            <w:r w:rsidRPr="00A95EF8">
              <w:rPr>
                <w:rFonts w:ascii="Times New Roman" w:eastAsia="Calibri" w:hAnsi="Times New Roman"/>
                <w:sz w:val="20"/>
                <w:szCs w:val="20"/>
                <w:lang w:val="ms-MY"/>
              </w:rPr>
              <w:t>Suami/Isteri</w:t>
            </w:r>
          </w:p>
        </w:tc>
        <w:tc>
          <w:tcPr>
            <w:tcW w:w="1276" w:type="dxa"/>
          </w:tcPr>
          <w:p w14:paraId="6979DA20" w14:textId="77777777" w:rsidR="007913AC" w:rsidRPr="00A95EF8" w:rsidRDefault="007913AC" w:rsidP="0010777E">
            <w:pPr>
              <w:jc w:val="center"/>
              <w:rPr>
                <w:rFonts w:ascii="Times New Roman" w:eastAsia="Calibri" w:hAnsi="Times New Roman"/>
                <w:sz w:val="20"/>
                <w:szCs w:val="20"/>
                <w:lang w:val="ms-MY"/>
              </w:rPr>
            </w:pPr>
            <w:r w:rsidRPr="00A95EF8">
              <w:rPr>
                <w:rFonts w:ascii="Times New Roman" w:eastAsia="Calibri" w:hAnsi="Times New Roman"/>
                <w:sz w:val="20"/>
                <w:szCs w:val="20"/>
                <w:lang w:val="ms-MY"/>
              </w:rPr>
              <w:t>1.5</w:t>
            </w:r>
          </w:p>
        </w:tc>
        <w:tc>
          <w:tcPr>
            <w:tcW w:w="1417" w:type="dxa"/>
            <w:tcBorders>
              <w:right w:val="single" w:sz="4" w:space="0" w:color="auto"/>
            </w:tcBorders>
          </w:tcPr>
          <w:p w14:paraId="02B1EFBF" w14:textId="77777777" w:rsidR="007913AC" w:rsidRPr="00A95EF8" w:rsidRDefault="007913AC" w:rsidP="0010777E">
            <w:pPr>
              <w:jc w:val="center"/>
              <w:rPr>
                <w:rFonts w:ascii="Times New Roman" w:eastAsia="Calibri" w:hAnsi="Times New Roman"/>
                <w:sz w:val="20"/>
                <w:szCs w:val="20"/>
                <w:lang w:val="ms-MY"/>
              </w:rPr>
            </w:pPr>
            <w:r w:rsidRPr="00A95EF8">
              <w:rPr>
                <w:rFonts w:ascii="Times New Roman" w:eastAsia="Calibri" w:hAnsi="Times New Roman"/>
                <w:sz w:val="20"/>
                <w:szCs w:val="20"/>
                <w:lang w:val="ms-MY"/>
              </w:rPr>
              <w:t>2.3</w:t>
            </w:r>
          </w:p>
        </w:tc>
        <w:tc>
          <w:tcPr>
            <w:tcW w:w="1276" w:type="dxa"/>
            <w:tcBorders>
              <w:left w:val="single" w:sz="4" w:space="0" w:color="auto"/>
            </w:tcBorders>
          </w:tcPr>
          <w:p w14:paraId="7F4717FF" w14:textId="77777777" w:rsidR="007913AC" w:rsidRPr="00A95EF8" w:rsidRDefault="007913AC" w:rsidP="0010777E">
            <w:pPr>
              <w:jc w:val="center"/>
              <w:rPr>
                <w:rFonts w:ascii="Times New Roman" w:eastAsia="Calibri" w:hAnsi="Times New Roman"/>
                <w:sz w:val="20"/>
                <w:szCs w:val="20"/>
                <w:lang w:val="ms-MY"/>
              </w:rPr>
            </w:pPr>
            <w:r w:rsidRPr="00A95EF8">
              <w:rPr>
                <w:rFonts w:ascii="Times New Roman" w:eastAsia="Calibri" w:hAnsi="Times New Roman"/>
                <w:sz w:val="20"/>
                <w:szCs w:val="20"/>
                <w:lang w:val="ms-MY"/>
              </w:rPr>
              <w:t>3.7</w:t>
            </w:r>
          </w:p>
        </w:tc>
        <w:tc>
          <w:tcPr>
            <w:tcW w:w="1559" w:type="dxa"/>
          </w:tcPr>
          <w:p w14:paraId="657098E2" w14:textId="77777777" w:rsidR="007913AC" w:rsidRPr="00A95EF8" w:rsidRDefault="007913AC" w:rsidP="0010777E">
            <w:pPr>
              <w:jc w:val="center"/>
              <w:rPr>
                <w:rFonts w:ascii="Times New Roman" w:eastAsia="Calibri" w:hAnsi="Times New Roman"/>
                <w:sz w:val="20"/>
                <w:szCs w:val="20"/>
                <w:lang w:val="ms-MY"/>
              </w:rPr>
            </w:pPr>
            <w:r w:rsidRPr="00A95EF8">
              <w:rPr>
                <w:rFonts w:ascii="Times New Roman" w:eastAsia="Calibri" w:hAnsi="Times New Roman"/>
                <w:sz w:val="20"/>
                <w:szCs w:val="20"/>
                <w:lang w:val="ms-MY"/>
              </w:rPr>
              <w:t>3.8</w:t>
            </w:r>
          </w:p>
        </w:tc>
      </w:tr>
      <w:tr w:rsidR="007913AC" w:rsidRPr="00A95EF8" w14:paraId="6D544B1A" w14:textId="77777777" w:rsidTr="0010777E">
        <w:tc>
          <w:tcPr>
            <w:tcW w:w="1843" w:type="dxa"/>
            <w:tcBorders>
              <w:bottom w:val="single" w:sz="4" w:space="0" w:color="auto"/>
            </w:tcBorders>
          </w:tcPr>
          <w:p w14:paraId="1A9923B4" w14:textId="77777777" w:rsidR="007913AC" w:rsidRPr="00A95EF8" w:rsidRDefault="007913AC" w:rsidP="0010777E">
            <w:pPr>
              <w:rPr>
                <w:rFonts w:ascii="Times New Roman" w:eastAsia="Calibri" w:hAnsi="Times New Roman"/>
                <w:sz w:val="20"/>
                <w:szCs w:val="20"/>
                <w:lang w:val="ms-MY"/>
              </w:rPr>
            </w:pPr>
            <w:r w:rsidRPr="00A95EF8">
              <w:rPr>
                <w:rFonts w:ascii="Times New Roman" w:eastAsia="Calibri" w:hAnsi="Times New Roman"/>
                <w:sz w:val="20"/>
                <w:szCs w:val="20"/>
                <w:lang w:val="ms-MY"/>
              </w:rPr>
              <w:t>Saudara Mara</w:t>
            </w:r>
          </w:p>
        </w:tc>
        <w:tc>
          <w:tcPr>
            <w:tcW w:w="1276" w:type="dxa"/>
            <w:tcBorders>
              <w:bottom w:val="single" w:sz="4" w:space="0" w:color="auto"/>
            </w:tcBorders>
          </w:tcPr>
          <w:p w14:paraId="7FFB7C4A" w14:textId="77777777" w:rsidR="007913AC" w:rsidRPr="00A95EF8" w:rsidRDefault="007913AC" w:rsidP="0010777E">
            <w:pPr>
              <w:jc w:val="center"/>
              <w:rPr>
                <w:rFonts w:ascii="Times New Roman" w:eastAsia="Calibri" w:hAnsi="Times New Roman"/>
                <w:sz w:val="20"/>
                <w:szCs w:val="20"/>
                <w:lang w:val="ms-MY"/>
              </w:rPr>
            </w:pPr>
            <w:r w:rsidRPr="00A95EF8">
              <w:rPr>
                <w:rFonts w:ascii="Times New Roman" w:eastAsia="Calibri" w:hAnsi="Times New Roman"/>
                <w:sz w:val="20"/>
                <w:szCs w:val="20"/>
                <w:lang w:val="ms-MY"/>
              </w:rPr>
              <w:t>3.9</w:t>
            </w:r>
          </w:p>
        </w:tc>
        <w:tc>
          <w:tcPr>
            <w:tcW w:w="1417" w:type="dxa"/>
            <w:tcBorders>
              <w:bottom w:val="single" w:sz="4" w:space="0" w:color="auto"/>
              <w:right w:val="single" w:sz="4" w:space="0" w:color="auto"/>
            </w:tcBorders>
          </w:tcPr>
          <w:p w14:paraId="6DDC2328" w14:textId="77777777" w:rsidR="007913AC" w:rsidRPr="00A95EF8" w:rsidRDefault="007913AC" w:rsidP="0010777E">
            <w:pPr>
              <w:jc w:val="center"/>
              <w:rPr>
                <w:rFonts w:ascii="Times New Roman" w:eastAsia="Calibri" w:hAnsi="Times New Roman"/>
                <w:sz w:val="20"/>
                <w:szCs w:val="20"/>
                <w:lang w:val="ms-MY"/>
              </w:rPr>
            </w:pPr>
            <w:r w:rsidRPr="00A95EF8">
              <w:rPr>
                <w:rFonts w:ascii="Times New Roman" w:eastAsia="Calibri" w:hAnsi="Times New Roman"/>
                <w:sz w:val="20"/>
                <w:szCs w:val="20"/>
                <w:lang w:val="ms-MY"/>
              </w:rPr>
              <w:t>3.5</w:t>
            </w:r>
          </w:p>
        </w:tc>
        <w:tc>
          <w:tcPr>
            <w:tcW w:w="1276" w:type="dxa"/>
            <w:tcBorders>
              <w:left w:val="single" w:sz="4" w:space="0" w:color="auto"/>
              <w:bottom w:val="single" w:sz="4" w:space="0" w:color="auto"/>
            </w:tcBorders>
          </w:tcPr>
          <w:p w14:paraId="313DB489" w14:textId="77777777" w:rsidR="007913AC" w:rsidRPr="00A95EF8" w:rsidRDefault="007913AC" w:rsidP="0010777E">
            <w:pPr>
              <w:jc w:val="center"/>
              <w:rPr>
                <w:rFonts w:ascii="Times New Roman" w:eastAsia="Calibri" w:hAnsi="Times New Roman"/>
                <w:sz w:val="20"/>
                <w:szCs w:val="20"/>
                <w:lang w:val="ms-MY"/>
              </w:rPr>
            </w:pPr>
            <w:r w:rsidRPr="00A95EF8">
              <w:rPr>
                <w:rFonts w:ascii="Times New Roman" w:eastAsia="Calibri" w:hAnsi="Times New Roman"/>
                <w:sz w:val="20"/>
                <w:szCs w:val="20"/>
                <w:lang w:val="ms-MY"/>
              </w:rPr>
              <w:t>3.3</w:t>
            </w:r>
          </w:p>
        </w:tc>
        <w:tc>
          <w:tcPr>
            <w:tcW w:w="1559" w:type="dxa"/>
            <w:tcBorders>
              <w:bottom w:val="single" w:sz="4" w:space="0" w:color="auto"/>
            </w:tcBorders>
          </w:tcPr>
          <w:p w14:paraId="2743C11D" w14:textId="77777777" w:rsidR="007913AC" w:rsidRPr="00A95EF8" w:rsidRDefault="007913AC" w:rsidP="0010777E">
            <w:pPr>
              <w:jc w:val="center"/>
              <w:rPr>
                <w:rFonts w:ascii="Times New Roman" w:eastAsia="Calibri" w:hAnsi="Times New Roman"/>
                <w:sz w:val="20"/>
                <w:szCs w:val="20"/>
                <w:lang w:val="ms-MY"/>
              </w:rPr>
            </w:pPr>
            <w:r w:rsidRPr="00A95EF8">
              <w:rPr>
                <w:rFonts w:ascii="Times New Roman" w:eastAsia="Calibri" w:hAnsi="Times New Roman"/>
                <w:sz w:val="20"/>
                <w:szCs w:val="20"/>
                <w:lang w:val="ms-MY"/>
              </w:rPr>
              <w:t>3.1</w:t>
            </w:r>
          </w:p>
        </w:tc>
      </w:tr>
      <w:tr w:rsidR="007913AC" w:rsidRPr="00A95EF8" w14:paraId="356ED730" w14:textId="77777777" w:rsidTr="0010777E">
        <w:tc>
          <w:tcPr>
            <w:tcW w:w="1843" w:type="dxa"/>
            <w:tcBorders>
              <w:top w:val="single" w:sz="4" w:space="0" w:color="auto"/>
              <w:bottom w:val="single" w:sz="4" w:space="0" w:color="auto"/>
            </w:tcBorders>
          </w:tcPr>
          <w:p w14:paraId="55D20EEB" w14:textId="77777777" w:rsidR="007913AC" w:rsidRPr="00A95EF8" w:rsidRDefault="007913AC" w:rsidP="0010777E">
            <w:pPr>
              <w:rPr>
                <w:rFonts w:ascii="Times New Roman" w:eastAsia="Calibri" w:hAnsi="Times New Roman"/>
                <w:sz w:val="20"/>
                <w:szCs w:val="20"/>
                <w:lang w:val="ms-MY"/>
              </w:rPr>
            </w:pPr>
            <w:r w:rsidRPr="00A95EF8">
              <w:rPr>
                <w:rFonts w:ascii="Times New Roman" w:eastAsia="Calibri" w:hAnsi="Times New Roman"/>
                <w:sz w:val="20"/>
                <w:szCs w:val="20"/>
                <w:lang w:val="ms-MY"/>
              </w:rPr>
              <w:t xml:space="preserve">Min keseluruhan </w:t>
            </w:r>
          </w:p>
        </w:tc>
        <w:tc>
          <w:tcPr>
            <w:tcW w:w="1276" w:type="dxa"/>
            <w:tcBorders>
              <w:top w:val="single" w:sz="4" w:space="0" w:color="auto"/>
              <w:bottom w:val="single" w:sz="4" w:space="0" w:color="auto"/>
            </w:tcBorders>
          </w:tcPr>
          <w:p w14:paraId="76932B8E" w14:textId="77777777" w:rsidR="007913AC" w:rsidRPr="00A95EF8" w:rsidRDefault="007913AC" w:rsidP="0010777E">
            <w:pPr>
              <w:jc w:val="center"/>
              <w:rPr>
                <w:rFonts w:ascii="Times New Roman" w:eastAsia="Calibri" w:hAnsi="Times New Roman"/>
                <w:sz w:val="20"/>
                <w:szCs w:val="20"/>
                <w:lang w:val="ms-MY"/>
              </w:rPr>
            </w:pPr>
            <w:r w:rsidRPr="00A95EF8">
              <w:rPr>
                <w:rFonts w:ascii="Times New Roman" w:eastAsia="Calibri" w:hAnsi="Times New Roman"/>
                <w:sz w:val="20"/>
                <w:szCs w:val="20"/>
                <w:lang w:val="ms-MY"/>
              </w:rPr>
              <w:t>3.5</w:t>
            </w:r>
          </w:p>
        </w:tc>
        <w:tc>
          <w:tcPr>
            <w:tcW w:w="1417" w:type="dxa"/>
            <w:tcBorders>
              <w:top w:val="single" w:sz="4" w:space="0" w:color="auto"/>
              <w:bottom w:val="single" w:sz="4" w:space="0" w:color="auto"/>
              <w:right w:val="single" w:sz="4" w:space="0" w:color="auto"/>
            </w:tcBorders>
          </w:tcPr>
          <w:p w14:paraId="06FACCCB" w14:textId="77777777" w:rsidR="007913AC" w:rsidRPr="00A95EF8" w:rsidRDefault="007913AC" w:rsidP="0010777E">
            <w:pPr>
              <w:jc w:val="center"/>
              <w:rPr>
                <w:rFonts w:ascii="Times New Roman" w:eastAsia="Calibri" w:hAnsi="Times New Roman"/>
                <w:sz w:val="20"/>
                <w:szCs w:val="20"/>
                <w:lang w:val="ms-MY"/>
              </w:rPr>
            </w:pPr>
            <w:r w:rsidRPr="00A95EF8">
              <w:rPr>
                <w:rFonts w:ascii="Times New Roman" w:eastAsia="Calibri" w:hAnsi="Times New Roman"/>
                <w:sz w:val="20"/>
                <w:szCs w:val="20"/>
                <w:lang w:val="ms-MY"/>
              </w:rPr>
              <w:t>3.5</w:t>
            </w:r>
          </w:p>
        </w:tc>
        <w:tc>
          <w:tcPr>
            <w:tcW w:w="1276" w:type="dxa"/>
            <w:tcBorders>
              <w:top w:val="single" w:sz="4" w:space="0" w:color="auto"/>
              <w:left w:val="single" w:sz="4" w:space="0" w:color="auto"/>
              <w:bottom w:val="single" w:sz="4" w:space="0" w:color="auto"/>
            </w:tcBorders>
          </w:tcPr>
          <w:p w14:paraId="5E8F31EE" w14:textId="77777777" w:rsidR="007913AC" w:rsidRPr="00A95EF8" w:rsidRDefault="007913AC" w:rsidP="0010777E">
            <w:pPr>
              <w:jc w:val="center"/>
              <w:rPr>
                <w:rFonts w:ascii="Times New Roman" w:eastAsia="Calibri" w:hAnsi="Times New Roman"/>
                <w:sz w:val="20"/>
                <w:szCs w:val="20"/>
                <w:lang w:val="ms-MY"/>
              </w:rPr>
            </w:pPr>
            <w:r w:rsidRPr="00A95EF8">
              <w:rPr>
                <w:rFonts w:ascii="Times New Roman" w:eastAsia="Calibri" w:hAnsi="Times New Roman"/>
                <w:sz w:val="20"/>
                <w:szCs w:val="20"/>
                <w:lang w:val="ms-MY"/>
              </w:rPr>
              <w:t>3.3</w:t>
            </w:r>
          </w:p>
        </w:tc>
        <w:tc>
          <w:tcPr>
            <w:tcW w:w="1559" w:type="dxa"/>
            <w:tcBorders>
              <w:top w:val="single" w:sz="4" w:space="0" w:color="auto"/>
              <w:bottom w:val="single" w:sz="4" w:space="0" w:color="auto"/>
            </w:tcBorders>
          </w:tcPr>
          <w:p w14:paraId="367B5B6B" w14:textId="77777777" w:rsidR="007913AC" w:rsidRPr="00A95EF8" w:rsidRDefault="007913AC" w:rsidP="0010777E">
            <w:pPr>
              <w:jc w:val="center"/>
              <w:rPr>
                <w:rFonts w:ascii="Times New Roman" w:eastAsia="Calibri" w:hAnsi="Times New Roman"/>
                <w:sz w:val="20"/>
                <w:szCs w:val="20"/>
                <w:lang w:val="ms-MY"/>
              </w:rPr>
            </w:pPr>
            <w:r w:rsidRPr="00A95EF8">
              <w:rPr>
                <w:rFonts w:ascii="Times New Roman" w:eastAsia="Calibri" w:hAnsi="Times New Roman"/>
                <w:sz w:val="20"/>
                <w:szCs w:val="20"/>
                <w:lang w:val="ms-MY"/>
              </w:rPr>
              <w:t>3.2</w:t>
            </w:r>
          </w:p>
        </w:tc>
      </w:tr>
    </w:tbl>
    <w:p w14:paraId="78421291" w14:textId="77777777" w:rsidR="007913AC" w:rsidRPr="00A95EF8" w:rsidRDefault="007913AC" w:rsidP="007913AC">
      <w:pPr>
        <w:spacing w:after="0" w:line="240" w:lineRule="auto"/>
        <w:jc w:val="both"/>
        <w:rPr>
          <w:rFonts w:ascii="Times New Roman" w:eastAsia="Calibri" w:hAnsi="Times New Roman" w:cs="Times New Roman"/>
          <w:sz w:val="20"/>
          <w:szCs w:val="20"/>
          <w:lang w:val="ms-MY"/>
        </w:rPr>
      </w:pPr>
    </w:p>
    <w:p w14:paraId="19CF457B" w14:textId="77777777" w:rsidR="007913AC" w:rsidRPr="00A95EF8" w:rsidRDefault="007913AC" w:rsidP="007913AC">
      <w:pPr>
        <w:spacing w:after="0" w:line="240" w:lineRule="auto"/>
        <w:jc w:val="both"/>
        <w:rPr>
          <w:rFonts w:ascii="Times New Roman" w:eastAsia="Calibri" w:hAnsi="Times New Roman" w:cs="Times New Roman"/>
          <w:sz w:val="20"/>
          <w:szCs w:val="20"/>
          <w:lang w:val="ms-MY"/>
        </w:rPr>
      </w:pPr>
    </w:p>
    <w:p w14:paraId="3FA93C73" w14:textId="77777777" w:rsidR="007913AC" w:rsidRPr="00A95EF8" w:rsidRDefault="007913AC" w:rsidP="007913AC">
      <w:pPr>
        <w:spacing w:after="0" w:line="240" w:lineRule="auto"/>
        <w:jc w:val="both"/>
        <w:rPr>
          <w:rFonts w:ascii="Times New Roman" w:eastAsia="Calibri" w:hAnsi="Times New Roman" w:cs="Times New Roman"/>
          <w:sz w:val="20"/>
          <w:szCs w:val="20"/>
          <w:lang w:val="ms-MY"/>
        </w:rPr>
      </w:pPr>
    </w:p>
    <w:p w14:paraId="5A80ED87" w14:textId="77777777" w:rsidR="007913AC" w:rsidRPr="00A95EF8" w:rsidRDefault="007913AC" w:rsidP="007913AC">
      <w:pPr>
        <w:spacing w:after="0" w:line="240" w:lineRule="auto"/>
        <w:jc w:val="both"/>
        <w:rPr>
          <w:rFonts w:ascii="Times New Roman" w:eastAsia="Calibri" w:hAnsi="Times New Roman" w:cs="Times New Roman"/>
          <w:sz w:val="20"/>
          <w:szCs w:val="20"/>
          <w:lang w:val="ms-MY"/>
        </w:rPr>
      </w:pPr>
    </w:p>
    <w:p w14:paraId="1F254783" w14:textId="77777777" w:rsidR="007913AC" w:rsidRPr="00A95EF8" w:rsidRDefault="007913AC" w:rsidP="007913AC">
      <w:pPr>
        <w:spacing w:after="0" w:line="240" w:lineRule="auto"/>
        <w:jc w:val="both"/>
        <w:rPr>
          <w:rFonts w:ascii="Times New Roman" w:eastAsia="Calibri" w:hAnsi="Times New Roman" w:cs="Times New Roman"/>
          <w:sz w:val="20"/>
          <w:szCs w:val="20"/>
          <w:lang w:val="ms-MY"/>
        </w:rPr>
      </w:pPr>
    </w:p>
    <w:p w14:paraId="74351C8B" w14:textId="77777777" w:rsidR="007913AC" w:rsidRPr="00A95EF8" w:rsidRDefault="007913AC" w:rsidP="007913AC">
      <w:pPr>
        <w:spacing w:after="0" w:line="240" w:lineRule="auto"/>
        <w:jc w:val="both"/>
        <w:rPr>
          <w:rFonts w:ascii="Times New Roman" w:eastAsia="Calibri" w:hAnsi="Times New Roman" w:cs="Times New Roman"/>
          <w:sz w:val="20"/>
          <w:szCs w:val="20"/>
          <w:lang w:val="ms-MY"/>
        </w:rPr>
      </w:pPr>
    </w:p>
    <w:p w14:paraId="3494E3ED" w14:textId="77777777" w:rsidR="007913AC" w:rsidRPr="00A95EF8" w:rsidRDefault="007913AC" w:rsidP="007913AC">
      <w:pPr>
        <w:spacing w:after="0" w:line="240" w:lineRule="auto"/>
        <w:jc w:val="both"/>
        <w:rPr>
          <w:rFonts w:ascii="Times New Roman" w:eastAsia="Calibri" w:hAnsi="Times New Roman" w:cs="Times New Roman"/>
          <w:sz w:val="20"/>
          <w:szCs w:val="20"/>
          <w:lang w:val="ms-MY"/>
        </w:rPr>
      </w:pPr>
    </w:p>
    <w:p w14:paraId="4EF8D66F" w14:textId="77777777" w:rsidR="007913AC" w:rsidRPr="00A95EF8" w:rsidRDefault="007913AC" w:rsidP="007913AC">
      <w:pPr>
        <w:spacing w:after="0" w:line="240" w:lineRule="auto"/>
        <w:jc w:val="both"/>
        <w:rPr>
          <w:rFonts w:ascii="Times New Roman" w:eastAsia="Calibri" w:hAnsi="Times New Roman" w:cs="Times New Roman"/>
          <w:sz w:val="20"/>
          <w:szCs w:val="20"/>
          <w:lang w:val="ms-MY"/>
        </w:rPr>
      </w:pPr>
    </w:p>
    <w:p w14:paraId="3B474A46" w14:textId="77777777" w:rsidR="007913AC" w:rsidRPr="00A95EF8" w:rsidRDefault="007913AC" w:rsidP="007913AC">
      <w:pPr>
        <w:spacing w:after="0" w:line="240" w:lineRule="auto"/>
        <w:jc w:val="both"/>
        <w:rPr>
          <w:rFonts w:ascii="Times New Roman" w:eastAsia="Calibri" w:hAnsi="Times New Roman" w:cs="Times New Roman"/>
          <w:sz w:val="20"/>
          <w:szCs w:val="20"/>
          <w:lang w:val="ms-MY"/>
        </w:rPr>
      </w:pPr>
    </w:p>
    <w:p w14:paraId="38F93320" w14:textId="77777777" w:rsidR="007913AC" w:rsidRPr="00A95EF8" w:rsidRDefault="007913AC" w:rsidP="007913AC">
      <w:pPr>
        <w:spacing w:after="0" w:line="240" w:lineRule="auto"/>
        <w:jc w:val="both"/>
        <w:rPr>
          <w:rFonts w:ascii="Times New Roman" w:eastAsia="Calibri" w:hAnsi="Times New Roman" w:cs="Times New Roman"/>
          <w:sz w:val="20"/>
          <w:szCs w:val="20"/>
          <w:lang w:val="ms-MY"/>
        </w:rPr>
      </w:pPr>
    </w:p>
    <w:p w14:paraId="4B2B2858" w14:textId="77777777" w:rsidR="007913AC" w:rsidRPr="00A95EF8" w:rsidRDefault="007913AC" w:rsidP="007913AC">
      <w:pPr>
        <w:spacing w:after="0" w:line="240" w:lineRule="auto"/>
        <w:jc w:val="both"/>
        <w:rPr>
          <w:rFonts w:ascii="Times New Roman" w:eastAsia="Calibri" w:hAnsi="Times New Roman" w:cs="Times New Roman"/>
          <w:sz w:val="20"/>
          <w:szCs w:val="20"/>
          <w:lang w:val="ms-MY"/>
        </w:rPr>
      </w:pPr>
    </w:p>
    <w:p w14:paraId="51B78A04" w14:textId="77777777" w:rsidR="007913AC" w:rsidRPr="00A95EF8" w:rsidRDefault="007913AC" w:rsidP="007913AC">
      <w:pPr>
        <w:spacing w:after="0" w:line="240" w:lineRule="auto"/>
        <w:jc w:val="both"/>
        <w:rPr>
          <w:rFonts w:ascii="Times New Roman" w:eastAsia="Calibri" w:hAnsi="Times New Roman" w:cs="Times New Roman"/>
          <w:sz w:val="20"/>
          <w:szCs w:val="20"/>
          <w:lang w:val="ms-MY"/>
        </w:rPr>
      </w:pPr>
    </w:p>
    <w:p w14:paraId="09369153" w14:textId="77777777" w:rsidR="007913AC" w:rsidRPr="00A95EF8" w:rsidRDefault="007913AC" w:rsidP="007913AC">
      <w:pPr>
        <w:spacing w:after="0" w:line="240" w:lineRule="auto"/>
        <w:jc w:val="both"/>
        <w:rPr>
          <w:rFonts w:ascii="Times New Roman" w:eastAsia="Calibri" w:hAnsi="Times New Roman" w:cs="Times New Roman"/>
          <w:sz w:val="18"/>
          <w:szCs w:val="18"/>
          <w:lang w:val="ms-MY"/>
        </w:rPr>
      </w:pPr>
      <w:r w:rsidRPr="00A95EF8">
        <w:rPr>
          <w:rFonts w:ascii="Times New Roman" w:eastAsia="Calibri" w:hAnsi="Times New Roman" w:cs="Times New Roman"/>
          <w:sz w:val="18"/>
          <w:szCs w:val="18"/>
          <w:lang w:val="ms-MY"/>
        </w:rPr>
        <w:t>*Nota: Purata Skor berasaskan skala</w:t>
      </w:r>
    </w:p>
    <w:p w14:paraId="0D71D6C7" w14:textId="77777777" w:rsidR="007913AC" w:rsidRPr="00A95EF8" w:rsidRDefault="007913AC" w:rsidP="007913AC">
      <w:pPr>
        <w:spacing w:after="0" w:line="240" w:lineRule="auto"/>
        <w:jc w:val="both"/>
        <w:rPr>
          <w:rFonts w:ascii="Times New Roman" w:eastAsia="Calibri" w:hAnsi="Times New Roman" w:cs="Times New Roman"/>
          <w:sz w:val="18"/>
          <w:szCs w:val="18"/>
          <w:lang w:val="ms-MY"/>
        </w:rPr>
      </w:pPr>
      <w:r w:rsidRPr="00A95EF8">
        <w:rPr>
          <w:rFonts w:ascii="Times New Roman" w:eastAsia="Calibri" w:hAnsi="Times New Roman" w:cs="Times New Roman"/>
          <w:sz w:val="18"/>
          <w:szCs w:val="18"/>
          <w:lang w:val="ms-MY"/>
        </w:rPr>
        <w:tab/>
        <w:t>0: Tidak berkenaan</w:t>
      </w:r>
      <w:r w:rsidRPr="00A95EF8">
        <w:rPr>
          <w:rFonts w:ascii="Times New Roman" w:eastAsia="Calibri" w:hAnsi="Times New Roman" w:cs="Times New Roman"/>
          <w:sz w:val="18"/>
          <w:szCs w:val="18"/>
          <w:lang w:val="ms-MY"/>
        </w:rPr>
        <w:tab/>
        <w:t>1:Sangat tidak akrab</w:t>
      </w:r>
    </w:p>
    <w:p w14:paraId="6349378E" w14:textId="77777777" w:rsidR="007913AC" w:rsidRPr="00A95EF8" w:rsidRDefault="007913AC" w:rsidP="007913AC">
      <w:pPr>
        <w:spacing w:after="0" w:line="240" w:lineRule="auto"/>
        <w:jc w:val="both"/>
        <w:rPr>
          <w:rFonts w:ascii="Times New Roman" w:eastAsia="Calibri" w:hAnsi="Times New Roman" w:cs="Times New Roman"/>
          <w:sz w:val="18"/>
          <w:szCs w:val="18"/>
          <w:lang w:val="ms-MY"/>
        </w:rPr>
      </w:pPr>
      <w:r w:rsidRPr="00A95EF8">
        <w:rPr>
          <w:rFonts w:ascii="Times New Roman" w:eastAsia="Calibri" w:hAnsi="Times New Roman" w:cs="Times New Roman"/>
          <w:sz w:val="18"/>
          <w:szCs w:val="18"/>
          <w:lang w:val="ms-MY"/>
        </w:rPr>
        <w:tab/>
        <w:t>2: Tidak akrab</w:t>
      </w:r>
      <w:r w:rsidRPr="00A95EF8">
        <w:rPr>
          <w:rFonts w:ascii="Times New Roman" w:eastAsia="Calibri" w:hAnsi="Times New Roman" w:cs="Times New Roman"/>
          <w:sz w:val="18"/>
          <w:szCs w:val="18"/>
          <w:lang w:val="ms-MY"/>
        </w:rPr>
        <w:tab/>
      </w:r>
      <w:r w:rsidRPr="00A95EF8">
        <w:rPr>
          <w:rFonts w:ascii="Times New Roman" w:eastAsia="Calibri" w:hAnsi="Times New Roman" w:cs="Times New Roman"/>
          <w:sz w:val="18"/>
          <w:szCs w:val="18"/>
          <w:lang w:val="ms-MY"/>
        </w:rPr>
        <w:tab/>
        <w:t>3:Sederhana</w:t>
      </w:r>
    </w:p>
    <w:p w14:paraId="0AE52352" w14:textId="77777777" w:rsidR="007913AC" w:rsidRPr="00A95EF8" w:rsidRDefault="007913AC" w:rsidP="007913AC">
      <w:pPr>
        <w:spacing w:after="0" w:line="240" w:lineRule="auto"/>
        <w:jc w:val="both"/>
        <w:rPr>
          <w:rFonts w:ascii="Times New Roman" w:eastAsia="Calibri" w:hAnsi="Times New Roman" w:cs="Times New Roman"/>
          <w:sz w:val="18"/>
          <w:szCs w:val="18"/>
          <w:lang w:val="ms-MY"/>
        </w:rPr>
      </w:pPr>
      <w:r w:rsidRPr="00A95EF8">
        <w:rPr>
          <w:rFonts w:ascii="Times New Roman" w:eastAsia="Calibri" w:hAnsi="Times New Roman" w:cs="Times New Roman"/>
          <w:sz w:val="18"/>
          <w:szCs w:val="18"/>
          <w:lang w:val="ms-MY"/>
        </w:rPr>
        <w:tab/>
        <w:t>4: Akrab</w:t>
      </w:r>
      <w:r w:rsidRPr="00A95EF8">
        <w:rPr>
          <w:rFonts w:ascii="Times New Roman" w:eastAsia="Calibri" w:hAnsi="Times New Roman" w:cs="Times New Roman"/>
          <w:sz w:val="18"/>
          <w:szCs w:val="18"/>
          <w:lang w:val="ms-MY"/>
        </w:rPr>
        <w:tab/>
      </w:r>
      <w:r w:rsidRPr="00A95EF8">
        <w:rPr>
          <w:rFonts w:ascii="Times New Roman" w:eastAsia="Calibri" w:hAnsi="Times New Roman" w:cs="Times New Roman"/>
          <w:sz w:val="18"/>
          <w:szCs w:val="18"/>
          <w:lang w:val="ms-MY"/>
        </w:rPr>
        <w:tab/>
      </w:r>
      <w:r w:rsidRPr="00A95EF8">
        <w:rPr>
          <w:rFonts w:ascii="Times New Roman" w:eastAsia="Calibri" w:hAnsi="Times New Roman" w:cs="Times New Roman"/>
          <w:sz w:val="18"/>
          <w:szCs w:val="18"/>
          <w:lang w:val="ms-MY"/>
        </w:rPr>
        <w:tab/>
        <w:t>5:Sangat Akrab</w:t>
      </w:r>
    </w:p>
    <w:p w14:paraId="1388C760" w14:textId="77777777" w:rsidR="007913AC" w:rsidRPr="00A95EF8" w:rsidRDefault="007913AC" w:rsidP="007913AC">
      <w:pPr>
        <w:spacing w:after="0" w:line="240" w:lineRule="auto"/>
        <w:jc w:val="both"/>
        <w:rPr>
          <w:rFonts w:ascii="Times New Roman" w:eastAsia="Calibri" w:hAnsi="Times New Roman" w:cs="Times New Roman"/>
          <w:sz w:val="18"/>
          <w:szCs w:val="18"/>
          <w:lang w:val="ms-MY"/>
        </w:rPr>
      </w:pPr>
    </w:p>
    <w:p w14:paraId="01556567" w14:textId="77777777" w:rsidR="007913AC" w:rsidRPr="00A95EF8" w:rsidRDefault="007913AC" w:rsidP="007913AC">
      <w:pPr>
        <w:spacing w:after="0" w:line="240" w:lineRule="auto"/>
        <w:jc w:val="both"/>
        <w:rPr>
          <w:rFonts w:ascii="Times New Roman" w:eastAsia="Calibri" w:hAnsi="Times New Roman" w:cs="Times New Roman"/>
          <w:sz w:val="18"/>
          <w:szCs w:val="18"/>
          <w:lang w:val="ms-MY"/>
        </w:rPr>
      </w:pPr>
      <w:r w:rsidRPr="00A95EF8">
        <w:rPr>
          <w:rFonts w:ascii="Times New Roman" w:eastAsia="Calibri" w:hAnsi="Times New Roman" w:cs="Times New Roman"/>
          <w:sz w:val="18"/>
          <w:szCs w:val="18"/>
          <w:lang w:val="ms-MY"/>
        </w:rPr>
        <w:t>**Nota: Purata Skor berasaskan skala</w:t>
      </w:r>
    </w:p>
    <w:p w14:paraId="441FC462" w14:textId="77777777" w:rsidR="007913AC" w:rsidRPr="00A95EF8" w:rsidRDefault="007913AC" w:rsidP="007913AC">
      <w:pPr>
        <w:spacing w:after="0" w:line="240" w:lineRule="auto"/>
        <w:jc w:val="both"/>
        <w:rPr>
          <w:rFonts w:ascii="Times New Roman" w:eastAsia="Calibri" w:hAnsi="Times New Roman" w:cs="Times New Roman"/>
          <w:sz w:val="18"/>
          <w:szCs w:val="18"/>
          <w:lang w:val="ms-MY"/>
        </w:rPr>
      </w:pPr>
      <w:r w:rsidRPr="00A95EF8">
        <w:rPr>
          <w:rFonts w:ascii="Times New Roman" w:eastAsia="Calibri" w:hAnsi="Times New Roman" w:cs="Times New Roman"/>
          <w:sz w:val="18"/>
          <w:szCs w:val="18"/>
          <w:lang w:val="ms-MY"/>
        </w:rPr>
        <w:tab/>
        <w:t>1: Tidak Pernah</w:t>
      </w:r>
      <w:r w:rsidRPr="00A95EF8">
        <w:rPr>
          <w:rFonts w:ascii="Times New Roman" w:eastAsia="Calibri" w:hAnsi="Times New Roman" w:cs="Times New Roman"/>
          <w:sz w:val="18"/>
          <w:szCs w:val="18"/>
          <w:lang w:val="ms-MY"/>
        </w:rPr>
        <w:tab/>
      </w:r>
      <w:r w:rsidRPr="00A95EF8">
        <w:rPr>
          <w:rFonts w:ascii="Times New Roman" w:eastAsia="Calibri" w:hAnsi="Times New Roman" w:cs="Times New Roman"/>
          <w:sz w:val="18"/>
          <w:szCs w:val="18"/>
          <w:lang w:val="ms-MY"/>
        </w:rPr>
        <w:tab/>
        <w:t>2:Jarang</w:t>
      </w:r>
    </w:p>
    <w:p w14:paraId="11BDC4A3" w14:textId="77777777" w:rsidR="007913AC" w:rsidRPr="00A95EF8" w:rsidRDefault="007913AC" w:rsidP="007913AC">
      <w:pPr>
        <w:spacing w:after="0" w:line="240" w:lineRule="auto"/>
        <w:jc w:val="both"/>
        <w:rPr>
          <w:rFonts w:ascii="Times New Roman" w:eastAsia="Calibri" w:hAnsi="Times New Roman" w:cs="Times New Roman"/>
          <w:sz w:val="18"/>
          <w:szCs w:val="18"/>
          <w:lang w:val="ms-MY"/>
        </w:rPr>
      </w:pPr>
      <w:r w:rsidRPr="00A95EF8">
        <w:rPr>
          <w:rFonts w:ascii="Times New Roman" w:eastAsia="Calibri" w:hAnsi="Times New Roman" w:cs="Times New Roman"/>
          <w:sz w:val="18"/>
          <w:szCs w:val="18"/>
          <w:lang w:val="ms-MY"/>
        </w:rPr>
        <w:tab/>
        <w:t>3: Kadang-kadang</w:t>
      </w:r>
      <w:r w:rsidRPr="00A95EF8">
        <w:rPr>
          <w:rFonts w:ascii="Times New Roman" w:eastAsia="Calibri" w:hAnsi="Times New Roman" w:cs="Times New Roman"/>
          <w:sz w:val="18"/>
          <w:szCs w:val="18"/>
          <w:lang w:val="ms-MY"/>
        </w:rPr>
        <w:tab/>
        <w:t>4:Kerap</w:t>
      </w:r>
    </w:p>
    <w:p w14:paraId="1EB90CB0" w14:textId="77777777" w:rsidR="00521596" w:rsidRDefault="007913AC" w:rsidP="00A95EF8">
      <w:pPr>
        <w:spacing w:after="0" w:line="240" w:lineRule="auto"/>
        <w:jc w:val="both"/>
        <w:rPr>
          <w:rFonts w:ascii="Times New Roman" w:eastAsia="Calibri" w:hAnsi="Times New Roman" w:cs="Times New Roman"/>
          <w:sz w:val="18"/>
          <w:szCs w:val="18"/>
          <w:lang w:val="ms-MY"/>
        </w:rPr>
      </w:pPr>
      <w:r w:rsidRPr="00A95EF8">
        <w:rPr>
          <w:rFonts w:ascii="Times New Roman" w:eastAsia="Calibri" w:hAnsi="Times New Roman" w:cs="Times New Roman"/>
          <w:sz w:val="18"/>
          <w:szCs w:val="18"/>
          <w:lang w:val="ms-MY"/>
        </w:rPr>
        <w:tab/>
        <w:t>5: Selalu</w:t>
      </w:r>
      <w:r w:rsidRPr="00A95EF8">
        <w:rPr>
          <w:rFonts w:ascii="Times New Roman" w:eastAsia="Calibri" w:hAnsi="Times New Roman" w:cs="Times New Roman"/>
          <w:sz w:val="18"/>
          <w:szCs w:val="18"/>
          <w:lang w:val="ms-MY"/>
        </w:rPr>
        <w:tab/>
      </w:r>
    </w:p>
    <w:p w14:paraId="316B2118" w14:textId="3BD969B5" w:rsidR="007913AC" w:rsidRPr="00A95EF8" w:rsidRDefault="007913AC" w:rsidP="00A95EF8">
      <w:pPr>
        <w:spacing w:after="0" w:line="240" w:lineRule="auto"/>
        <w:jc w:val="both"/>
        <w:rPr>
          <w:rFonts w:ascii="Times New Roman" w:eastAsia="Calibri" w:hAnsi="Times New Roman" w:cs="Times New Roman"/>
          <w:sz w:val="18"/>
          <w:szCs w:val="18"/>
          <w:lang w:val="ms-MY"/>
        </w:rPr>
      </w:pPr>
      <w:r w:rsidRPr="00A95EF8">
        <w:rPr>
          <w:rFonts w:ascii="Times New Roman" w:eastAsia="Calibri" w:hAnsi="Times New Roman" w:cs="Times New Roman"/>
          <w:sz w:val="18"/>
          <w:szCs w:val="18"/>
          <w:lang w:val="ms-MY"/>
        </w:rPr>
        <w:tab/>
      </w:r>
    </w:p>
    <w:p w14:paraId="75E163CB" w14:textId="77777777" w:rsidR="007913AC" w:rsidRPr="00B53C29" w:rsidRDefault="007913AC" w:rsidP="00521596">
      <w:pPr>
        <w:spacing w:line="360" w:lineRule="auto"/>
        <w:jc w:val="both"/>
        <w:rPr>
          <w:rFonts w:ascii="Times New Roman" w:eastAsia="Calibri" w:hAnsi="Times New Roman" w:cs="Times New Roman"/>
          <w:sz w:val="24"/>
          <w:szCs w:val="24"/>
          <w:lang w:val="ms-MY"/>
        </w:rPr>
      </w:pPr>
      <w:r w:rsidRPr="00B53C29">
        <w:rPr>
          <w:rFonts w:ascii="Times New Roman" w:eastAsia="Calibri" w:hAnsi="Times New Roman" w:cs="Times New Roman"/>
          <w:sz w:val="24"/>
          <w:szCs w:val="24"/>
          <w:lang w:val="ms-MY"/>
        </w:rPr>
        <w:t xml:space="preserve">Hasil kajian pemilikan modal sosial ikatan selepas responden memeluk agama Islam pula menunjukkan keakraban pada skala sederhana (3.2). Modal sosial ikatan yang sederhana akrab selepas responden memeluk agama Islam ialah saudara mara (3.3), adik-beradik (3.3), ibu (3.2) dan ayah (2.7). Sungguhpun begitu, terdapat modal sosial ikatan yang akrab selepas responden memeluk Islam iaitu suami atau isteri yang baru (3.7). Manakala berkenaan dengan kekerapan berhubung selepas memeluk Islam, menunjukkan purata skor pada skala kadang-kadang (3.2). Secara terperinci, responden kadang-kadang berhubung dengan adik-beradik (3.4), ibu (3.2), saudara mara (3.1) dan ayah (2.8). Manakala dengan suami atau isteri, responden selalu (3.8) berhubung. Hasil kajian ini menunjukkan bahawa penukaran agama responden kepada Islam telah menyebabkan pemilikan modal sosial ikatan mereka menjadi sederhana. Selanjutnya kadang-kadang sahaja mereka berhubung. Pemilikan modal sosial yang sederhana juga dimanifestasikan oleh informan yang menjelaskan: </w:t>
      </w:r>
    </w:p>
    <w:p w14:paraId="62BE46EC" w14:textId="77777777" w:rsidR="007913AC" w:rsidRPr="00B53C29" w:rsidRDefault="007913AC" w:rsidP="00521596">
      <w:pPr>
        <w:spacing w:line="360" w:lineRule="auto"/>
        <w:jc w:val="both"/>
        <w:rPr>
          <w:rFonts w:ascii="Times New Roman" w:eastAsia="Calibri" w:hAnsi="Times New Roman" w:cs="Times New Roman"/>
          <w:i/>
          <w:sz w:val="24"/>
          <w:szCs w:val="24"/>
          <w:lang w:val="ms-MY"/>
        </w:rPr>
      </w:pPr>
    </w:p>
    <w:p w14:paraId="38B3C665" w14:textId="77777777" w:rsidR="007913AC" w:rsidRPr="00B53C29" w:rsidRDefault="007913AC" w:rsidP="00521596">
      <w:pPr>
        <w:spacing w:line="360" w:lineRule="auto"/>
        <w:jc w:val="both"/>
        <w:rPr>
          <w:rFonts w:ascii="Times New Roman" w:eastAsia="Calibri" w:hAnsi="Times New Roman" w:cs="Times New Roman"/>
          <w:i/>
          <w:sz w:val="24"/>
          <w:szCs w:val="24"/>
          <w:lang w:val="ms-MY"/>
        </w:rPr>
      </w:pPr>
      <w:r w:rsidRPr="00B53C29">
        <w:rPr>
          <w:rFonts w:ascii="Times New Roman" w:eastAsia="Calibri" w:hAnsi="Times New Roman" w:cs="Times New Roman"/>
          <w:i/>
          <w:sz w:val="24"/>
          <w:szCs w:val="24"/>
          <w:lang w:val="ms-MY"/>
        </w:rPr>
        <w:lastRenderedPageBreak/>
        <w:t>“ Tiada persefahaman, agama berbeza susah untuk rapat. Tapi tetap mak ayah kita” (Informan 1)</w:t>
      </w:r>
    </w:p>
    <w:p w14:paraId="10454068" w14:textId="77777777" w:rsidR="007913AC" w:rsidRPr="00B53C29" w:rsidRDefault="007913AC" w:rsidP="00521596">
      <w:pPr>
        <w:spacing w:line="360" w:lineRule="auto"/>
        <w:jc w:val="both"/>
        <w:rPr>
          <w:rFonts w:ascii="Times New Roman" w:eastAsia="Calibri" w:hAnsi="Times New Roman" w:cs="Times New Roman"/>
          <w:sz w:val="24"/>
          <w:szCs w:val="24"/>
          <w:lang w:val="ms-MY"/>
        </w:rPr>
      </w:pPr>
    </w:p>
    <w:p w14:paraId="4BC48848" w14:textId="77777777" w:rsidR="007913AC" w:rsidRPr="00B53C29" w:rsidRDefault="007913AC" w:rsidP="00521596">
      <w:pPr>
        <w:spacing w:line="360" w:lineRule="auto"/>
        <w:jc w:val="both"/>
        <w:rPr>
          <w:rFonts w:ascii="Times New Roman" w:eastAsia="Calibri" w:hAnsi="Times New Roman" w:cs="Times New Roman"/>
          <w:sz w:val="24"/>
          <w:szCs w:val="24"/>
          <w:lang w:val="ms-MY"/>
        </w:rPr>
      </w:pPr>
      <w:r w:rsidRPr="00B53C29">
        <w:rPr>
          <w:rFonts w:ascii="Times New Roman" w:eastAsia="Calibri" w:hAnsi="Times New Roman" w:cs="Times New Roman"/>
          <w:sz w:val="24"/>
          <w:szCs w:val="24"/>
          <w:lang w:val="ms-MY"/>
        </w:rPr>
        <w:t>Informan 1 menyatakan bahawa keakraban dengan keluarga berubah disebabkan tiadanya persefahaman antara mereka kerana agama yang berbeza. Selain itu, rata-rata informan juga menyatakan antara faktor pemilikan modal sosial yang sederhana selepas memeluk Islam ialah faktor Melayu Muslim termasuk isteri atau suami responden yang menjadi penghalang. Ini diwakili oleh kenyataan informan 2 yang menyatakan :</w:t>
      </w:r>
    </w:p>
    <w:p w14:paraId="0524AB1F" w14:textId="77777777" w:rsidR="007913AC" w:rsidRPr="00B53C29" w:rsidRDefault="007913AC" w:rsidP="00521596">
      <w:pPr>
        <w:spacing w:line="360" w:lineRule="auto"/>
        <w:rPr>
          <w:rFonts w:ascii="Times New Roman" w:eastAsia="Calibri" w:hAnsi="Times New Roman" w:cs="Times New Roman"/>
          <w:sz w:val="24"/>
          <w:szCs w:val="24"/>
          <w:lang w:val="ms-MY"/>
        </w:rPr>
      </w:pPr>
    </w:p>
    <w:p w14:paraId="6AC56740" w14:textId="77777777" w:rsidR="007913AC" w:rsidRPr="00B53C29" w:rsidRDefault="007913AC" w:rsidP="00521596">
      <w:pPr>
        <w:spacing w:line="360" w:lineRule="auto"/>
        <w:jc w:val="both"/>
        <w:rPr>
          <w:rFonts w:ascii="Times New Roman" w:eastAsia="Calibri" w:hAnsi="Times New Roman" w:cs="Times New Roman"/>
          <w:i/>
          <w:sz w:val="24"/>
          <w:szCs w:val="24"/>
          <w:lang w:val="ms-MY"/>
        </w:rPr>
      </w:pPr>
      <w:r w:rsidRPr="00B53C29">
        <w:rPr>
          <w:rFonts w:ascii="Times New Roman" w:eastAsia="Calibri" w:hAnsi="Times New Roman" w:cs="Times New Roman"/>
          <w:i/>
          <w:sz w:val="24"/>
          <w:szCs w:val="24"/>
          <w:lang w:val="ms-MY"/>
        </w:rPr>
        <w:t xml:space="preserve">“ ada kawan nasihat bila balik...mak bagi air. Jangan minum takut bekas arak. Lepas 2 kita fikir baik tak payah balik. Buat mak kecil hati sahaja.” </w:t>
      </w:r>
    </w:p>
    <w:p w14:paraId="68CC0D6C" w14:textId="77777777" w:rsidR="007913AC" w:rsidRPr="00B53C29" w:rsidRDefault="007913AC" w:rsidP="00521596">
      <w:pPr>
        <w:spacing w:line="360" w:lineRule="auto"/>
        <w:rPr>
          <w:rFonts w:ascii="Times New Roman" w:eastAsia="Calibri" w:hAnsi="Times New Roman" w:cs="Times New Roman"/>
          <w:sz w:val="24"/>
          <w:szCs w:val="24"/>
          <w:lang w:val="ms-MY"/>
        </w:rPr>
      </w:pPr>
    </w:p>
    <w:p w14:paraId="772BD999" w14:textId="77777777" w:rsidR="007913AC" w:rsidRPr="00B53C29" w:rsidRDefault="007913AC" w:rsidP="00521596">
      <w:pPr>
        <w:spacing w:line="360" w:lineRule="auto"/>
        <w:jc w:val="both"/>
        <w:rPr>
          <w:rFonts w:ascii="Times New Roman" w:eastAsia="Calibri" w:hAnsi="Times New Roman" w:cs="Times New Roman"/>
          <w:sz w:val="24"/>
          <w:szCs w:val="24"/>
          <w:lang w:val="ms-MY"/>
        </w:rPr>
      </w:pPr>
      <w:r w:rsidRPr="00B53C29">
        <w:rPr>
          <w:rFonts w:ascii="Times New Roman" w:eastAsia="Calibri" w:hAnsi="Times New Roman" w:cs="Times New Roman"/>
          <w:sz w:val="24"/>
          <w:szCs w:val="24"/>
          <w:lang w:val="ms-MY"/>
        </w:rPr>
        <w:t xml:space="preserve">Kenyataan tersebut menjelaskan terdapat pandangan yang salah dalam konteks hubungan Cina Muslim dengan keluarga. Hal ini menjadikan pemilikan modal sosial ikatan menjadi tidak akrab dan berlarutan apabila responden mengambil keputusan untuk tidak pulang lagi ke rumah.  Kesimpulannya pemilikan modal sosial ikatan responden adalah sederhana dan kekerapan responden berhubung dengan modal sosial ikatan kadang-kadang sahaja. Hasil ini menjelaskan berlaku perubahan dalam pemilikan modal sosial ikatan responden. Di mana perasaan kekitaan dan rasa sebahagian daripada modal sosial ikatan tidak lagi dimiliki sepenuhnya oleh responden setelah memeluk agama Islam. Ini menunjukkan bahawa dengan memeluk agama Islam, telah membezakan nilai dalam modal sosial ikatan. Pengislaman merupakan satu nilai yang baru yang telah menjejaskan ciri homogen antara responden dengan modal sosial ikatan, begitu juga  pergantungan antara ahli keluarga. Ini selari dengan Jennings (1967) yang menyatakan nilai yang berbeza menyebabkan kejeleketan antara ahli komuniti menjadi lemah. Manakala Rafic (1994) menegaskan penukaran agama telah mengubah </w:t>
      </w:r>
      <w:r w:rsidRPr="00B53C29">
        <w:rPr>
          <w:rFonts w:ascii="Times New Roman" w:eastAsia="Calibri" w:hAnsi="Times New Roman" w:cs="Times New Roman"/>
          <w:sz w:val="24"/>
          <w:szCs w:val="24"/>
          <w:lang w:val="ms-MY"/>
        </w:rPr>
        <w:lastRenderedPageBreak/>
        <w:t xml:space="preserve">penganutnya untuk menurut aturan hidup yang sangat berbeza dengan kehidupan asal yang mempengaruhi personaliti dan sosial dan seluruh aspek kehidupan mereka. Selain perbezaan agama, komuniti Melayu Muslim turut menyumbang kepada rendahnya pemilikan modal sosial ikatan selepas memeluk Islam dengan memberikan pandangan-pandangan yang salah mengenai hubungan antara responden dengan modal sosial ikatan yang tidak beragama Islam.  </w:t>
      </w:r>
    </w:p>
    <w:p w14:paraId="6847BBF7" w14:textId="77777777" w:rsidR="007913AC" w:rsidRPr="00B53C29" w:rsidRDefault="007913AC" w:rsidP="00521596">
      <w:pPr>
        <w:spacing w:line="360" w:lineRule="auto"/>
        <w:jc w:val="both"/>
        <w:rPr>
          <w:rFonts w:ascii="Times New Roman" w:eastAsia="Calibri" w:hAnsi="Times New Roman" w:cs="Times New Roman"/>
          <w:sz w:val="24"/>
          <w:szCs w:val="24"/>
          <w:lang w:val="ms-MY"/>
        </w:rPr>
      </w:pPr>
    </w:p>
    <w:p w14:paraId="2302D676" w14:textId="77777777" w:rsidR="007913AC" w:rsidRPr="00B53C29" w:rsidRDefault="007913AC" w:rsidP="00521596">
      <w:pPr>
        <w:spacing w:line="360" w:lineRule="auto"/>
        <w:jc w:val="both"/>
        <w:rPr>
          <w:rFonts w:ascii="Times New Roman" w:eastAsia="Calibri" w:hAnsi="Times New Roman" w:cs="Times New Roman"/>
          <w:sz w:val="24"/>
          <w:szCs w:val="24"/>
          <w:lang w:val="ms-MY"/>
        </w:rPr>
      </w:pPr>
      <w:r w:rsidRPr="00B53C29">
        <w:rPr>
          <w:rFonts w:ascii="Times New Roman" w:eastAsia="Calibri" w:hAnsi="Times New Roman" w:cs="Times New Roman"/>
          <w:sz w:val="24"/>
          <w:szCs w:val="24"/>
          <w:lang w:val="ms-MY"/>
        </w:rPr>
        <w:t xml:space="preserve">Selain itu, pemilikan modal sosial yang berubah menjadi sederhana tidak selari dengan kajian-kajian lain yang menyatakan bahawa Cina Muslim  dipulau oleh keluarga, disindir oleh keluarga, tidak dibenarkan pulang ke rumah dan putus hubungan kekeluargaan selepas mereka memeluk Islam (Mohd Syukri Yeoh &amp; Osman, 2004; Abdullah dan Shukri, 2008; Nur Athiroh Tan &amp; Fariza, 2009; Suraya Sintang et al., 2013; Marlon P.Guleng et al., 2014). Hal ini kerana rata-rata informan menyatakan bahawa konflik bukanlah faktor yang menjejaskan pemilikan modal sosial sebaliknya perbezaan agama telah menyebabkan responden kurang akrab dengan keluarga. Ini diwakili oleh kenyataan informan 3 yang menyatakan: </w:t>
      </w:r>
    </w:p>
    <w:p w14:paraId="3EEA3DA4" w14:textId="77777777" w:rsidR="007913AC" w:rsidRPr="00B53C29" w:rsidRDefault="007913AC" w:rsidP="00521596">
      <w:pPr>
        <w:spacing w:line="360" w:lineRule="auto"/>
        <w:jc w:val="center"/>
        <w:rPr>
          <w:rFonts w:ascii="Times New Roman" w:eastAsia="Calibri" w:hAnsi="Times New Roman" w:cs="Times New Roman"/>
          <w:i/>
          <w:sz w:val="24"/>
          <w:szCs w:val="24"/>
          <w:lang w:val="ms-MY"/>
        </w:rPr>
      </w:pPr>
    </w:p>
    <w:p w14:paraId="3B4B8F13" w14:textId="77777777" w:rsidR="007913AC" w:rsidRPr="00B53C29" w:rsidRDefault="007913AC" w:rsidP="00521596">
      <w:pPr>
        <w:spacing w:line="360" w:lineRule="auto"/>
        <w:jc w:val="both"/>
        <w:rPr>
          <w:rFonts w:ascii="Times New Roman" w:eastAsia="Calibri" w:hAnsi="Times New Roman" w:cs="Times New Roman"/>
          <w:i/>
          <w:sz w:val="24"/>
          <w:szCs w:val="24"/>
          <w:lang w:val="ms-MY"/>
        </w:rPr>
      </w:pPr>
      <w:r w:rsidRPr="00B53C29">
        <w:rPr>
          <w:rFonts w:ascii="Times New Roman" w:eastAsia="Calibri" w:hAnsi="Times New Roman" w:cs="Times New Roman"/>
          <w:i/>
          <w:sz w:val="24"/>
          <w:szCs w:val="24"/>
          <w:lang w:val="ms-MY"/>
        </w:rPr>
        <w:t xml:space="preserve"> “Keluarga tiada masalah...tapi kalau pengetahuan keluarga tentang Islam kurang. Dia akan kata anak dia tidak mahu ikut keluarga. Tetapi Cina Kelantan ni berapa kerat sahaja ada masalah menentang anak memeluk Islam. Cina luar saya tidak tahu” </w:t>
      </w:r>
    </w:p>
    <w:p w14:paraId="4C1B1C9A" w14:textId="77777777" w:rsidR="007913AC" w:rsidRPr="00B53C29" w:rsidRDefault="007913AC" w:rsidP="00521596">
      <w:pPr>
        <w:spacing w:line="360" w:lineRule="auto"/>
        <w:jc w:val="both"/>
        <w:rPr>
          <w:rFonts w:ascii="Times New Roman" w:eastAsia="Calibri" w:hAnsi="Times New Roman" w:cs="Times New Roman"/>
          <w:sz w:val="24"/>
          <w:szCs w:val="24"/>
          <w:lang w:val="ms-MY"/>
        </w:rPr>
      </w:pPr>
    </w:p>
    <w:p w14:paraId="47250FD2" w14:textId="77777777" w:rsidR="007913AC" w:rsidRPr="00B53C29" w:rsidRDefault="007913AC" w:rsidP="00521596">
      <w:pPr>
        <w:spacing w:line="360" w:lineRule="auto"/>
        <w:jc w:val="both"/>
        <w:rPr>
          <w:rFonts w:ascii="Times New Roman" w:eastAsia="Calibri" w:hAnsi="Times New Roman" w:cs="Times New Roman"/>
          <w:sz w:val="24"/>
          <w:szCs w:val="24"/>
          <w:lang w:val="ms-MY"/>
        </w:rPr>
      </w:pPr>
      <w:r w:rsidRPr="00B53C29">
        <w:rPr>
          <w:rFonts w:ascii="Times New Roman" w:eastAsia="Calibri" w:hAnsi="Times New Roman" w:cs="Times New Roman"/>
          <w:sz w:val="24"/>
          <w:szCs w:val="24"/>
          <w:lang w:val="ms-MY"/>
        </w:rPr>
        <w:t xml:space="preserve">Informan 3 menjelaskan bahawa keluarga Cina Muslim Kelantan tidak mempunyai konflik disebabkan anak memeluk agama Islam, beliau menyatakan bahawa konflik yang menyebabkan berlaku penentangan apabila ahli keluarga memeluk agama Islam ialah kerana kurangnya kefahaman terhadap agama Islam dan jumlahnya  sedikit dalam kalangan Cina Kelantan. </w:t>
      </w:r>
    </w:p>
    <w:p w14:paraId="73DCB6E4" w14:textId="77777777" w:rsidR="007913AC" w:rsidRPr="00B53C29" w:rsidRDefault="007913AC" w:rsidP="00521596">
      <w:pPr>
        <w:spacing w:line="360" w:lineRule="auto"/>
        <w:jc w:val="both"/>
        <w:rPr>
          <w:rFonts w:ascii="Times New Roman" w:eastAsia="Calibri" w:hAnsi="Times New Roman" w:cs="Times New Roman"/>
          <w:sz w:val="24"/>
          <w:szCs w:val="24"/>
          <w:lang w:val="ms-MY"/>
        </w:rPr>
      </w:pPr>
    </w:p>
    <w:p w14:paraId="75612D3B" w14:textId="27507719" w:rsidR="007913AC" w:rsidRDefault="007913AC" w:rsidP="00521596">
      <w:pPr>
        <w:spacing w:line="360" w:lineRule="auto"/>
        <w:jc w:val="both"/>
        <w:rPr>
          <w:rFonts w:ascii="Times New Roman" w:eastAsia="Calibri" w:hAnsi="Times New Roman" w:cs="Times New Roman"/>
          <w:sz w:val="24"/>
          <w:szCs w:val="24"/>
          <w:lang w:val="ms-MY"/>
        </w:rPr>
      </w:pPr>
      <w:r w:rsidRPr="00B53C29">
        <w:rPr>
          <w:rFonts w:ascii="Times New Roman" w:eastAsia="Calibri" w:hAnsi="Times New Roman" w:cs="Times New Roman"/>
          <w:sz w:val="24"/>
          <w:szCs w:val="24"/>
          <w:lang w:val="ms-MY"/>
        </w:rPr>
        <w:lastRenderedPageBreak/>
        <w:t>Kesimpulannya pemilikan modal sosial ikatan responden sebelum memeluk Islam menunjukkan responden akrab dan selepas memeluk Islam berubah menjadi sederhana. Manakala perbezaan tersebut bukan disebabkan oleh konflik hubungan tetapi agama telah dijadikan sempadan oleh individu Cina Muslim dengan modal sosial ikatan mereka dan disebabkan oleh pandangan yang salah tentang hubungan responden dengan modal sosial ikatan daripada sesetengah Melayu Muslim dengan kata lain pengislaman telah menyebabkan berlaku konflik dalam diri responden itu sendiri.</w:t>
      </w:r>
    </w:p>
    <w:p w14:paraId="54F5CF20" w14:textId="77777777" w:rsidR="001124D1" w:rsidRPr="00B53C29" w:rsidRDefault="001124D1" w:rsidP="00521596">
      <w:pPr>
        <w:spacing w:line="360" w:lineRule="auto"/>
        <w:jc w:val="both"/>
        <w:rPr>
          <w:rFonts w:ascii="Times New Roman" w:eastAsia="Calibri" w:hAnsi="Times New Roman" w:cs="Times New Roman"/>
          <w:sz w:val="24"/>
          <w:szCs w:val="24"/>
          <w:lang w:val="ms-MY"/>
        </w:rPr>
      </w:pPr>
    </w:p>
    <w:p w14:paraId="2C11198F" w14:textId="7A2D0E2C" w:rsidR="007913AC" w:rsidRPr="00B53C29" w:rsidRDefault="009A1E84" w:rsidP="007913AC">
      <w:pPr>
        <w:keepNext/>
        <w:keepLines/>
        <w:spacing w:before="40" w:line="240" w:lineRule="auto"/>
        <w:jc w:val="both"/>
        <w:outlineLvl w:val="3"/>
        <w:rPr>
          <w:rFonts w:ascii="Times New Roman" w:hAnsi="Times New Roman" w:cs="Times New Roman"/>
          <w:b/>
          <w:i/>
          <w:iCs/>
          <w:sz w:val="24"/>
          <w:szCs w:val="24"/>
          <w:lang w:val="ms-MY"/>
        </w:rPr>
      </w:pPr>
      <w:r>
        <w:rPr>
          <w:rFonts w:ascii="Times New Roman" w:hAnsi="Times New Roman" w:cs="Times New Roman"/>
          <w:b/>
          <w:i/>
          <w:iCs/>
          <w:sz w:val="24"/>
          <w:szCs w:val="24"/>
          <w:lang w:val="ms-MY"/>
        </w:rPr>
        <w:t>4</w:t>
      </w:r>
      <w:r w:rsidR="001124D1">
        <w:rPr>
          <w:rFonts w:ascii="Times New Roman" w:hAnsi="Times New Roman" w:cs="Times New Roman"/>
          <w:b/>
          <w:i/>
          <w:iCs/>
          <w:sz w:val="24"/>
          <w:szCs w:val="24"/>
          <w:lang w:val="ms-MY"/>
        </w:rPr>
        <w:t xml:space="preserve">.2 </w:t>
      </w:r>
      <w:r w:rsidR="007913AC" w:rsidRPr="00B53C29">
        <w:rPr>
          <w:rFonts w:ascii="Times New Roman" w:hAnsi="Times New Roman" w:cs="Times New Roman"/>
          <w:b/>
          <w:i/>
          <w:iCs/>
          <w:sz w:val="24"/>
          <w:szCs w:val="24"/>
          <w:lang w:val="ms-MY"/>
        </w:rPr>
        <w:t>Perbezaan Pemilikan Modal Sosial Ikatan Sebelum dan Selepas Memeluk Islam, Tempoh Memeluk Islam Sebagai Variabel Kawalan.</w:t>
      </w:r>
    </w:p>
    <w:p w14:paraId="270E56CC" w14:textId="77777777" w:rsidR="007913AC" w:rsidRPr="00B53C29" w:rsidRDefault="007913AC" w:rsidP="007913AC">
      <w:pPr>
        <w:spacing w:line="240" w:lineRule="auto"/>
        <w:rPr>
          <w:rFonts w:ascii="Times New Roman" w:eastAsia="Calibri" w:hAnsi="Times New Roman" w:cs="Times New Roman"/>
          <w:sz w:val="24"/>
          <w:szCs w:val="24"/>
          <w:lang w:val="ms-MY"/>
        </w:rPr>
      </w:pPr>
    </w:p>
    <w:p w14:paraId="6C248D66" w14:textId="77777777" w:rsidR="007913AC" w:rsidRPr="00B53C29" w:rsidRDefault="007913AC" w:rsidP="00521596">
      <w:pPr>
        <w:spacing w:after="0" w:line="360" w:lineRule="auto"/>
        <w:jc w:val="both"/>
        <w:rPr>
          <w:rFonts w:ascii="Times New Roman" w:eastAsia="Calibri" w:hAnsi="Times New Roman" w:cs="Times New Roman"/>
          <w:sz w:val="24"/>
          <w:szCs w:val="24"/>
          <w:lang w:val="ms-MY"/>
        </w:rPr>
      </w:pPr>
      <w:r w:rsidRPr="00B53C29">
        <w:rPr>
          <w:rFonts w:ascii="Times New Roman" w:eastAsia="Calibri" w:hAnsi="Times New Roman" w:cs="Times New Roman"/>
          <w:sz w:val="24"/>
          <w:szCs w:val="24"/>
          <w:lang w:val="ms-MY"/>
        </w:rPr>
        <w:t>Jadual 2 merupakan keputusan ANCOVA berkaitan perbezaan pemilikan modal sosial ikatan sebelum dan selepas responden memeluk Islam dan tempoh memeluk Islam menjadi variabel kawalan. Hasil kajian menunjukkan terdapat perbezaan yang signifikan antara pemilikan modal sosial ikatan responden sebelum dan selepas memeluk Islam (F= 15. 376, p = 0.00). Selain itu, hasil kajian juga menunjukkan tidak terdapat perbezaan yang signifikan bagi pemilikan modal sosial ikatan selepas memeluk Islam berdasarkan tempoh memeluk Islam (F=0.593, p= 0.798). Realiti ini juga dikongsi oleh informan yang diwakili oleh informan 4 yang menyatakan:</w:t>
      </w:r>
    </w:p>
    <w:p w14:paraId="51517239" w14:textId="77777777" w:rsidR="007913AC" w:rsidRPr="00B53C29" w:rsidRDefault="007913AC" w:rsidP="00521596">
      <w:pPr>
        <w:spacing w:after="0" w:line="360" w:lineRule="auto"/>
        <w:jc w:val="both"/>
        <w:rPr>
          <w:rFonts w:ascii="Times New Roman" w:eastAsia="Calibri" w:hAnsi="Times New Roman" w:cs="Times New Roman"/>
          <w:sz w:val="24"/>
          <w:szCs w:val="24"/>
          <w:lang w:val="ms-MY"/>
        </w:rPr>
      </w:pPr>
    </w:p>
    <w:p w14:paraId="3C97CB66" w14:textId="77777777" w:rsidR="007913AC" w:rsidRPr="00B53C29" w:rsidRDefault="007913AC" w:rsidP="00521596">
      <w:pPr>
        <w:spacing w:after="0" w:line="360" w:lineRule="auto"/>
        <w:jc w:val="both"/>
        <w:rPr>
          <w:rFonts w:ascii="Times New Roman" w:eastAsia="Calibri" w:hAnsi="Times New Roman" w:cs="Times New Roman"/>
          <w:i/>
          <w:sz w:val="24"/>
          <w:szCs w:val="24"/>
          <w:lang w:val="ms-MY"/>
        </w:rPr>
      </w:pPr>
      <w:r w:rsidRPr="00B53C29">
        <w:rPr>
          <w:rFonts w:ascii="Times New Roman" w:eastAsia="Calibri" w:hAnsi="Times New Roman" w:cs="Times New Roman"/>
          <w:i/>
          <w:sz w:val="24"/>
          <w:szCs w:val="24"/>
          <w:lang w:val="ms-MY"/>
        </w:rPr>
        <w:t>Ada. Ada yang balik rasa payah nak makan. Tidak belajar la ni. Islam ni dia tidak ada had sangat. Kadang-kadang kita buat hukum sendiri...dia buat halangan...kadang-kadang isteri...tak payah la abang. Dia (keluarga) masukkan apa tahu dalam gelas....suami tahu sebenarnya. Tapi kalau suami tidak pandai terangkan pada isteri susah la...kes macam ini suami dan isteri bergaduh pula. Lepas tu sampai bila-bila macam tu la.”</w:t>
      </w:r>
    </w:p>
    <w:p w14:paraId="3B69B563" w14:textId="77777777" w:rsidR="007913AC" w:rsidRPr="00B53C29" w:rsidRDefault="007913AC" w:rsidP="00521596">
      <w:pPr>
        <w:spacing w:after="0" w:line="360" w:lineRule="auto"/>
        <w:rPr>
          <w:rFonts w:ascii="Times New Roman" w:eastAsia="Calibri" w:hAnsi="Times New Roman" w:cs="Times New Roman"/>
          <w:sz w:val="24"/>
          <w:szCs w:val="24"/>
          <w:lang w:val="ms-MY"/>
        </w:rPr>
      </w:pPr>
    </w:p>
    <w:p w14:paraId="2DDB60E3" w14:textId="62853291" w:rsidR="009A1E84" w:rsidRDefault="007913AC" w:rsidP="00521596">
      <w:pPr>
        <w:spacing w:after="0" w:line="360" w:lineRule="auto"/>
        <w:jc w:val="both"/>
        <w:rPr>
          <w:rFonts w:ascii="Times New Roman" w:eastAsia="Calibri" w:hAnsi="Times New Roman" w:cs="Times New Roman"/>
          <w:sz w:val="24"/>
          <w:szCs w:val="24"/>
          <w:lang w:val="ms-MY"/>
        </w:rPr>
      </w:pPr>
      <w:r w:rsidRPr="00B53C29">
        <w:rPr>
          <w:rFonts w:ascii="Times New Roman" w:eastAsia="Calibri" w:hAnsi="Times New Roman" w:cs="Times New Roman"/>
          <w:sz w:val="24"/>
          <w:szCs w:val="24"/>
          <w:lang w:val="ms-MY"/>
        </w:rPr>
        <w:t xml:space="preserve">Informan 4 mengaitkan Cina Muslim yang tidak belajar tentang hubungan dengan keluarga bukan Muslim dan keluarga Melayu Muslim yang menghalang mereka rapat akan terjadi </w:t>
      </w:r>
      <w:r w:rsidRPr="00B53C29">
        <w:rPr>
          <w:rFonts w:ascii="Times New Roman" w:eastAsia="Calibri" w:hAnsi="Times New Roman" w:cs="Times New Roman"/>
          <w:sz w:val="24"/>
          <w:szCs w:val="24"/>
          <w:lang w:val="ms-MY"/>
        </w:rPr>
        <w:lastRenderedPageBreak/>
        <w:t xml:space="preserve">sampai bila-bila selagi Cina Muslim tersebut tidak belajar agama Islam yang sebenar. Beliau juga menyatakan bahawa halangan tersebut dibina sendiri oleh responden dengan mencipta hukum sendiri berkaitan hubungan dengan modal sosial ikatan yang tidak beragama Islam. Ini menunjukkan bahawa memang terdapat perbezaan pemilikan keakraban sebelum dan selepas Islam dan perkara tersebut tidak berkait dengan tempoh seseorang memeluk Islam tetapi faktor sama ada individu Cina Muslim tersebut belajar atau tidak belajar tentang agama Islam yang sebenar. </w:t>
      </w:r>
    </w:p>
    <w:p w14:paraId="07C4AD6B" w14:textId="77777777" w:rsidR="009A1E84" w:rsidRPr="00B53C29" w:rsidRDefault="009A1E84" w:rsidP="007913AC">
      <w:pPr>
        <w:spacing w:line="240" w:lineRule="auto"/>
        <w:jc w:val="both"/>
        <w:rPr>
          <w:rFonts w:ascii="Times New Roman" w:eastAsia="Calibri" w:hAnsi="Times New Roman" w:cs="Times New Roman"/>
          <w:sz w:val="24"/>
          <w:szCs w:val="24"/>
          <w:lang w:val="ms-MY"/>
        </w:rPr>
      </w:pPr>
    </w:p>
    <w:p w14:paraId="7FF6028A" w14:textId="77777777" w:rsidR="007913AC" w:rsidRPr="00B53C29" w:rsidRDefault="007913AC" w:rsidP="009A1E84">
      <w:pPr>
        <w:spacing w:line="240" w:lineRule="auto"/>
        <w:ind w:left="709"/>
        <w:contextualSpacing/>
        <w:jc w:val="center"/>
        <w:rPr>
          <w:rFonts w:ascii="Times New Roman" w:eastAsia="SimSun" w:hAnsi="Times New Roman" w:cs="Times New Roman"/>
          <w:sz w:val="24"/>
          <w:szCs w:val="24"/>
          <w:lang w:val="ms-MY" w:eastAsia="zh-CN"/>
        </w:rPr>
      </w:pPr>
      <w:r w:rsidRPr="00B53C29">
        <w:rPr>
          <w:rFonts w:ascii="Times New Roman" w:eastAsia="SimSun" w:hAnsi="Times New Roman" w:cs="Times New Roman"/>
          <w:sz w:val="24"/>
          <w:szCs w:val="24"/>
          <w:lang w:val="ms-MY" w:eastAsia="zh-CN"/>
        </w:rPr>
        <w:t>Jadual 2. Perbezaan pemilikan modal sosial ikatan sebelum dan selepas Islam berasaskan tahun memeluk Islam</w:t>
      </w:r>
    </w:p>
    <w:p w14:paraId="1BCC6D6F" w14:textId="77777777" w:rsidR="007913AC" w:rsidRPr="009A1E84" w:rsidRDefault="007913AC" w:rsidP="009A1E84">
      <w:pPr>
        <w:spacing w:line="240" w:lineRule="auto"/>
        <w:ind w:left="709"/>
        <w:contextualSpacing/>
        <w:jc w:val="both"/>
        <w:rPr>
          <w:rFonts w:ascii="Times New Roman" w:eastAsia="SimSun" w:hAnsi="Times New Roman" w:cs="Times New Roman"/>
          <w:lang w:val="ms-MY" w:eastAsia="zh-CN"/>
        </w:rPr>
      </w:pPr>
    </w:p>
    <w:tbl>
      <w:tblPr>
        <w:tblW w:w="8283" w:type="dxa"/>
        <w:tblBorders>
          <w:top w:val="single" w:sz="4" w:space="0" w:color="auto"/>
        </w:tblBorders>
        <w:tblLayout w:type="fixed"/>
        <w:tblCellMar>
          <w:left w:w="0" w:type="dxa"/>
          <w:right w:w="0" w:type="dxa"/>
        </w:tblCellMar>
        <w:tblLook w:val="0000" w:firstRow="0" w:lastRow="0" w:firstColumn="0" w:lastColumn="0" w:noHBand="0" w:noVBand="0"/>
      </w:tblPr>
      <w:tblGrid>
        <w:gridCol w:w="1985"/>
        <w:gridCol w:w="1554"/>
        <w:gridCol w:w="1706"/>
        <w:gridCol w:w="1038"/>
        <w:gridCol w:w="1000"/>
        <w:gridCol w:w="1000"/>
      </w:tblGrid>
      <w:tr w:rsidR="007913AC" w:rsidRPr="009A1E84" w14:paraId="1225F564" w14:textId="77777777" w:rsidTr="0010777E">
        <w:trPr>
          <w:cantSplit/>
        </w:trPr>
        <w:tc>
          <w:tcPr>
            <w:tcW w:w="1985" w:type="dxa"/>
            <w:tcBorders>
              <w:top w:val="single" w:sz="4" w:space="0" w:color="auto"/>
              <w:bottom w:val="single" w:sz="4" w:space="0" w:color="auto"/>
            </w:tcBorders>
            <w:shd w:val="clear" w:color="auto" w:fill="FFFFFF"/>
          </w:tcPr>
          <w:p w14:paraId="0C8EF433" w14:textId="77777777" w:rsidR="007913AC" w:rsidRPr="009A1E84" w:rsidRDefault="007913AC" w:rsidP="009A1E84">
            <w:pPr>
              <w:autoSpaceDE w:val="0"/>
              <w:autoSpaceDN w:val="0"/>
              <w:adjustRightInd w:val="0"/>
              <w:spacing w:line="240" w:lineRule="auto"/>
              <w:ind w:left="62" w:right="62"/>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Sumber</w:t>
            </w:r>
          </w:p>
        </w:tc>
        <w:tc>
          <w:tcPr>
            <w:tcW w:w="1554" w:type="dxa"/>
            <w:tcBorders>
              <w:top w:val="single" w:sz="4" w:space="0" w:color="auto"/>
              <w:bottom w:val="single" w:sz="4" w:space="0" w:color="auto"/>
            </w:tcBorders>
            <w:shd w:val="clear" w:color="auto" w:fill="FFFFFF"/>
          </w:tcPr>
          <w:p w14:paraId="633AF6D5"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 xml:space="preserve">Jumlah kuasa dua </w:t>
            </w:r>
          </w:p>
        </w:tc>
        <w:tc>
          <w:tcPr>
            <w:tcW w:w="1706" w:type="dxa"/>
            <w:tcBorders>
              <w:top w:val="single" w:sz="4" w:space="0" w:color="auto"/>
              <w:bottom w:val="single" w:sz="4" w:space="0" w:color="auto"/>
            </w:tcBorders>
            <w:shd w:val="clear" w:color="auto" w:fill="FFFFFF"/>
          </w:tcPr>
          <w:p w14:paraId="681C2CF5"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Darjah kebebasan (df)</w:t>
            </w:r>
          </w:p>
        </w:tc>
        <w:tc>
          <w:tcPr>
            <w:tcW w:w="1038" w:type="dxa"/>
            <w:tcBorders>
              <w:top w:val="single" w:sz="4" w:space="0" w:color="auto"/>
              <w:bottom w:val="single" w:sz="4" w:space="0" w:color="auto"/>
            </w:tcBorders>
            <w:shd w:val="clear" w:color="auto" w:fill="FFFFFF"/>
          </w:tcPr>
          <w:p w14:paraId="1BF59C35"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Min kuasa dua</w:t>
            </w:r>
          </w:p>
        </w:tc>
        <w:tc>
          <w:tcPr>
            <w:tcW w:w="1000" w:type="dxa"/>
            <w:tcBorders>
              <w:top w:val="single" w:sz="4" w:space="0" w:color="auto"/>
              <w:bottom w:val="single" w:sz="4" w:space="0" w:color="auto"/>
            </w:tcBorders>
            <w:shd w:val="clear" w:color="auto" w:fill="FFFFFF"/>
          </w:tcPr>
          <w:p w14:paraId="387651A1"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Nilai F</w:t>
            </w:r>
          </w:p>
        </w:tc>
        <w:tc>
          <w:tcPr>
            <w:tcW w:w="1000" w:type="dxa"/>
            <w:tcBorders>
              <w:top w:val="single" w:sz="4" w:space="0" w:color="auto"/>
              <w:bottom w:val="single" w:sz="4" w:space="0" w:color="auto"/>
            </w:tcBorders>
            <w:shd w:val="clear" w:color="auto" w:fill="FFFFFF"/>
          </w:tcPr>
          <w:p w14:paraId="2E26660E"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Signifikan</w:t>
            </w:r>
          </w:p>
        </w:tc>
      </w:tr>
      <w:tr w:rsidR="007913AC" w:rsidRPr="009A1E84" w14:paraId="55695DB0" w14:textId="77777777" w:rsidTr="0010777E">
        <w:trPr>
          <w:cantSplit/>
        </w:trPr>
        <w:tc>
          <w:tcPr>
            <w:tcW w:w="1985" w:type="dxa"/>
            <w:tcBorders>
              <w:top w:val="single" w:sz="4" w:space="0" w:color="auto"/>
            </w:tcBorders>
            <w:shd w:val="clear" w:color="auto" w:fill="FFFFFF"/>
            <w:vAlign w:val="center"/>
          </w:tcPr>
          <w:p w14:paraId="5543A9AF" w14:textId="77777777" w:rsidR="007913AC" w:rsidRPr="009A1E84" w:rsidRDefault="007913AC" w:rsidP="009A1E84">
            <w:pPr>
              <w:autoSpaceDE w:val="0"/>
              <w:autoSpaceDN w:val="0"/>
              <w:adjustRightInd w:val="0"/>
              <w:spacing w:line="240" w:lineRule="auto"/>
              <w:ind w:left="62" w:right="62"/>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Corrected Model</w:t>
            </w:r>
          </w:p>
        </w:tc>
        <w:tc>
          <w:tcPr>
            <w:tcW w:w="1554" w:type="dxa"/>
            <w:tcBorders>
              <w:top w:val="single" w:sz="4" w:space="0" w:color="auto"/>
            </w:tcBorders>
            <w:shd w:val="clear" w:color="auto" w:fill="FFFFFF"/>
            <w:vAlign w:val="center"/>
          </w:tcPr>
          <w:p w14:paraId="1FD18CCC"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9.704</w:t>
            </w:r>
            <w:r w:rsidRPr="009A1E84">
              <w:rPr>
                <w:rFonts w:ascii="Times New Roman" w:eastAsia="Calibri" w:hAnsi="Times New Roman" w:cs="Times New Roman"/>
                <w:sz w:val="20"/>
                <w:szCs w:val="20"/>
                <w:vertAlign w:val="superscript"/>
                <w:lang w:val="ms-MY"/>
              </w:rPr>
              <w:t>a</w:t>
            </w:r>
          </w:p>
        </w:tc>
        <w:tc>
          <w:tcPr>
            <w:tcW w:w="1706" w:type="dxa"/>
            <w:tcBorders>
              <w:top w:val="single" w:sz="4" w:space="0" w:color="auto"/>
            </w:tcBorders>
            <w:shd w:val="clear" w:color="auto" w:fill="FFFFFF"/>
            <w:vAlign w:val="center"/>
          </w:tcPr>
          <w:p w14:paraId="45132901"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10</w:t>
            </w:r>
          </w:p>
        </w:tc>
        <w:tc>
          <w:tcPr>
            <w:tcW w:w="1038" w:type="dxa"/>
            <w:tcBorders>
              <w:top w:val="single" w:sz="4" w:space="0" w:color="auto"/>
            </w:tcBorders>
            <w:shd w:val="clear" w:color="auto" w:fill="FFFFFF"/>
            <w:vAlign w:val="center"/>
          </w:tcPr>
          <w:p w14:paraId="0B18DC5D"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.970</w:t>
            </w:r>
          </w:p>
        </w:tc>
        <w:tc>
          <w:tcPr>
            <w:tcW w:w="1000" w:type="dxa"/>
            <w:tcBorders>
              <w:top w:val="single" w:sz="4" w:space="0" w:color="auto"/>
            </w:tcBorders>
            <w:shd w:val="clear" w:color="auto" w:fill="FFFFFF"/>
            <w:vAlign w:val="center"/>
          </w:tcPr>
          <w:p w14:paraId="53CA9CD2"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2.705</w:t>
            </w:r>
          </w:p>
        </w:tc>
        <w:tc>
          <w:tcPr>
            <w:tcW w:w="1000" w:type="dxa"/>
            <w:tcBorders>
              <w:top w:val="single" w:sz="4" w:space="0" w:color="auto"/>
            </w:tcBorders>
            <w:shd w:val="clear" w:color="auto" w:fill="FFFFFF"/>
            <w:vAlign w:val="center"/>
          </w:tcPr>
          <w:p w14:paraId="1EEF179B"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.008</w:t>
            </w:r>
          </w:p>
        </w:tc>
      </w:tr>
      <w:tr w:rsidR="007913AC" w:rsidRPr="009A1E84" w14:paraId="3C9EA271" w14:textId="77777777" w:rsidTr="0010777E">
        <w:trPr>
          <w:cantSplit/>
        </w:trPr>
        <w:tc>
          <w:tcPr>
            <w:tcW w:w="1985" w:type="dxa"/>
            <w:shd w:val="clear" w:color="auto" w:fill="FFFFFF"/>
            <w:vAlign w:val="center"/>
          </w:tcPr>
          <w:p w14:paraId="463C149C" w14:textId="77777777" w:rsidR="007913AC" w:rsidRPr="009A1E84" w:rsidRDefault="007913AC" w:rsidP="009A1E84">
            <w:pPr>
              <w:autoSpaceDE w:val="0"/>
              <w:autoSpaceDN w:val="0"/>
              <w:adjustRightInd w:val="0"/>
              <w:spacing w:line="240" w:lineRule="auto"/>
              <w:ind w:left="62" w:right="62"/>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Intercept</w:t>
            </w:r>
          </w:p>
        </w:tc>
        <w:tc>
          <w:tcPr>
            <w:tcW w:w="1554" w:type="dxa"/>
            <w:shd w:val="clear" w:color="auto" w:fill="FFFFFF"/>
            <w:vAlign w:val="center"/>
          </w:tcPr>
          <w:p w14:paraId="09EF7F30"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14.032</w:t>
            </w:r>
          </w:p>
        </w:tc>
        <w:tc>
          <w:tcPr>
            <w:tcW w:w="1706" w:type="dxa"/>
            <w:shd w:val="clear" w:color="auto" w:fill="FFFFFF"/>
            <w:vAlign w:val="center"/>
          </w:tcPr>
          <w:p w14:paraId="43EF1819"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1</w:t>
            </w:r>
          </w:p>
        </w:tc>
        <w:tc>
          <w:tcPr>
            <w:tcW w:w="1038" w:type="dxa"/>
            <w:shd w:val="clear" w:color="auto" w:fill="FFFFFF"/>
            <w:vAlign w:val="center"/>
          </w:tcPr>
          <w:p w14:paraId="467C51BF"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14.032</w:t>
            </w:r>
          </w:p>
        </w:tc>
        <w:tc>
          <w:tcPr>
            <w:tcW w:w="1000" w:type="dxa"/>
            <w:shd w:val="clear" w:color="auto" w:fill="FFFFFF"/>
            <w:vAlign w:val="center"/>
          </w:tcPr>
          <w:p w14:paraId="2A58DDFC"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39.111</w:t>
            </w:r>
          </w:p>
        </w:tc>
        <w:tc>
          <w:tcPr>
            <w:tcW w:w="1000" w:type="dxa"/>
            <w:shd w:val="clear" w:color="auto" w:fill="FFFFFF"/>
            <w:vAlign w:val="center"/>
          </w:tcPr>
          <w:p w14:paraId="2E48DEF8"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.000</w:t>
            </w:r>
          </w:p>
        </w:tc>
      </w:tr>
      <w:tr w:rsidR="007913AC" w:rsidRPr="009A1E84" w14:paraId="240E9C77" w14:textId="77777777" w:rsidTr="0010777E">
        <w:trPr>
          <w:cantSplit/>
        </w:trPr>
        <w:tc>
          <w:tcPr>
            <w:tcW w:w="1985" w:type="dxa"/>
            <w:shd w:val="clear" w:color="auto" w:fill="FFFFFF"/>
            <w:vAlign w:val="center"/>
          </w:tcPr>
          <w:p w14:paraId="2CCA946E" w14:textId="77777777" w:rsidR="007913AC" w:rsidRPr="009A1E84" w:rsidRDefault="007913AC" w:rsidP="009A1E84">
            <w:pPr>
              <w:autoSpaceDE w:val="0"/>
              <w:autoSpaceDN w:val="0"/>
              <w:adjustRightInd w:val="0"/>
              <w:spacing w:line="240" w:lineRule="auto"/>
              <w:ind w:left="62" w:right="62"/>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Modal Sosial Ikatan</w:t>
            </w:r>
          </w:p>
        </w:tc>
        <w:tc>
          <w:tcPr>
            <w:tcW w:w="1554" w:type="dxa"/>
            <w:shd w:val="clear" w:color="auto" w:fill="FFFFFF"/>
            <w:vAlign w:val="center"/>
          </w:tcPr>
          <w:p w14:paraId="72AD0F75"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5.517</w:t>
            </w:r>
          </w:p>
        </w:tc>
        <w:tc>
          <w:tcPr>
            <w:tcW w:w="1706" w:type="dxa"/>
            <w:shd w:val="clear" w:color="auto" w:fill="FFFFFF"/>
            <w:vAlign w:val="center"/>
          </w:tcPr>
          <w:p w14:paraId="7436F0FD"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1</w:t>
            </w:r>
          </w:p>
        </w:tc>
        <w:tc>
          <w:tcPr>
            <w:tcW w:w="1038" w:type="dxa"/>
            <w:shd w:val="clear" w:color="auto" w:fill="FFFFFF"/>
            <w:vAlign w:val="center"/>
          </w:tcPr>
          <w:p w14:paraId="7AC812EB"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5.517</w:t>
            </w:r>
          </w:p>
        </w:tc>
        <w:tc>
          <w:tcPr>
            <w:tcW w:w="1000" w:type="dxa"/>
            <w:shd w:val="clear" w:color="auto" w:fill="FFFFFF"/>
            <w:vAlign w:val="center"/>
          </w:tcPr>
          <w:p w14:paraId="688AA8B2"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15.376</w:t>
            </w:r>
          </w:p>
        </w:tc>
        <w:tc>
          <w:tcPr>
            <w:tcW w:w="1000" w:type="dxa"/>
            <w:shd w:val="clear" w:color="auto" w:fill="FFFFFF"/>
            <w:vAlign w:val="center"/>
          </w:tcPr>
          <w:p w14:paraId="2A76A116"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.000</w:t>
            </w:r>
          </w:p>
        </w:tc>
      </w:tr>
      <w:tr w:rsidR="007913AC" w:rsidRPr="009A1E84" w14:paraId="7200E95B" w14:textId="77777777" w:rsidTr="0010777E">
        <w:trPr>
          <w:cantSplit/>
        </w:trPr>
        <w:tc>
          <w:tcPr>
            <w:tcW w:w="1985" w:type="dxa"/>
            <w:shd w:val="clear" w:color="auto" w:fill="FFFFFF"/>
            <w:vAlign w:val="center"/>
          </w:tcPr>
          <w:p w14:paraId="5F95420B" w14:textId="77777777" w:rsidR="007913AC" w:rsidRPr="009A1E84" w:rsidRDefault="007913AC" w:rsidP="009A1E84">
            <w:pPr>
              <w:autoSpaceDE w:val="0"/>
              <w:autoSpaceDN w:val="0"/>
              <w:adjustRightInd w:val="0"/>
              <w:spacing w:line="240" w:lineRule="auto"/>
              <w:ind w:left="62" w:right="62"/>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Tahun Memeluk Islam</w:t>
            </w:r>
          </w:p>
        </w:tc>
        <w:tc>
          <w:tcPr>
            <w:tcW w:w="1554" w:type="dxa"/>
            <w:shd w:val="clear" w:color="auto" w:fill="FFFFFF"/>
            <w:vAlign w:val="center"/>
          </w:tcPr>
          <w:p w14:paraId="7C137E67"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1.914</w:t>
            </w:r>
          </w:p>
        </w:tc>
        <w:tc>
          <w:tcPr>
            <w:tcW w:w="1706" w:type="dxa"/>
            <w:shd w:val="clear" w:color="auto" w:fill="FFFFFF"/>
            <w:vAlign w:val="center"/>
          </w:tcPr>
          <w:p w14:paraId="12E53087"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9</w:t>
            </w:r>
          </w:p>
        </w:tc>
        <w:tc>
          <w:tcPr>
            <w:tcW w:w="1038" w:type="dxa"/>
            <w:shd w:val="clear" w:color="auto" w:fill="FFFFFF"/>
            <w:vAlign w:val="center"/>
          </w:tcPr>
          <w:p w14:paraId="7D836F4D"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.213</w:t>
            </w:r>
          </w:p>
        </w:tc>
        <w:tc>
          <w:tcPr>
            <w:tcW w:w="1000" w:type="dxa"/>
            <w:shd w:val="clear" w:color="auto" w:fill="FFFFFF"/>
            <w:vAlign w:val="center"/>
          </w:tcPr>
          <w:p w14:paraId="3651C905"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.593</w:t>
            </w:r>
          </w:p>
        </w:tc>
        <w:tc>
          <w:tcPr>
            <w:tcW w:w="1000" w:type="dxa"/>
            <w:shd w:val="clear" w:color="auto" w:fill="FFFFFF"/>
            <w:vAlign w:val="center"/>
          </w:tcPr>
          <w:p w14:paraId="7A999BF4"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.798</w:t>
            </w:r>
          </w:p>
        </w:tc>
      </w:tr>
      <w:tr w:rsidR="007913AC" w:rsidRPr="009A1E84" w14:paraId="7F0B1EB8" w14:textId="77777777" w:rsidTr="0010777E">
        <w:trPr>
          <w:cantSplit/>
        </w:trPr>
        <w:tc>
          <w:tcPr>
            <w:tcW w:w="1985" w:type="dxa"/>
            <w:shd w:val="clear" w:color="auto" w:fill="FFFFFF"/>
            <w:vAlign w:val="center"/>
          </w:tcPr>
          <w:p w14:paraId="280542DE" w14:textId="77777777" w:rsidR="007913AC" w:rsidRPr="009A1E84" w:rsidRDefault="007913AC" w:rsidP="009A1E84">
            <w:pPr>
              <w:autoSpaceDE w:val="0"/>
              <w:autoSpaceDN w:val="0"/>
              <w:adjustRightInd w:val="0"/>
              <w:spacing w:line="240" w:lineRule="auto"/>
              <w:ind w:left="62" w:right="62"/>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Ralat</w:t>
            </w:r>
          </w:p>
        </w:tc>
        <w:tc>
          <w:tcPr>
            <w:tcW w:w="1554" w:type="dxa"/>
            <w:shd w:val="clear" w:color="auto" w:fill="FFFFFF"/>
            <w:vAlign w:val="center"/>
          </w:tcPr>
          <w:p w14:paraId="6CE30D65"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22.962</w:t>
            </w:r>
          </w:p>
        </w:tc>
        <w:tc>
          <w:tcPr>
            <w:tcW w:w="1706" w:type="dxa"/>
            <w:shd w:val="clear" w:color="auto" w:fill="FFFFFF"/>
            <w:vAlign w:val="center"/>
          </w:tcPr>
          <w:p w14:paraId="5D85D839"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64</w:t>
            </w:r>
          </w:p>
        </w:tc>
        <w:tc>
          <w:tcPr>
            <w:tcW w:w="1038" w:type="dxa"/>
            <w:shd w:val="clear" w:color="auto" w:fill="FFFFFF"/>
            <w:vAlign w:val="center"/>
          </w:tcPr>
          <w:p w14:paraId="72C4D859"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.359</w:t>
            </w:r>
          </w:p>
        </w:tc>
        <w:tc>
          <w:tcPr>
            <w:tcW w:w="1000" w:type="dxa"/>
            <w:shd w:val="clear" w:color="auto" w:fill="FFFFFF"/>
          </w:tcPr>
          <w:p w14:paraId="04ACBFC7"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p>
        </w:tc>
        <w:tc>
          <w:tcPr>
            <w:tcW w:w="1000" w:type="dxa"/>
            <w:shd w:val="clear" w:color="auto" w:fill="FFFFFF"/>
          </w:tcPr>
          <w:p w14:paraId="7245E911"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p>
        </w:tc>
      </w:tr>
      <w:tr w:rsidR="007913AC" w:rsidRPr="009A1E84" w14:paraId="1E2F249E" w14:textId="77777777" w:rsidTr="0010777E">
        <w:trPr>
          <w:cantSplit/>
        </w:trPr>
        <w:tc>
          <w:tcPr>
            <w:tcW w:w="1985" w:type="dxa"/>
            <w:tcBorders>
              <w:bottom w:val="nil"/>
            </w:tcBorders>
            <w:shd w:val="clear" w:color="auto" w:fill="FFFFFF"/>
            <w:vAlign w:val="center"/>
          </w:tcPr>
          <w:p w14:paraId="68A66843" w14:textId="77777777" w:rsidR="007913AC" w:rsidRPr="009A1E84" w:rsidRDefault="007913AC" w:rsidP="009A1E84">
            <w:pPr>
              <w:autoSpaceDE w:val="0"/>
              <w:autoSpaceDN w:val="0"/>
              <w:adjustRightInd w:val="0"/>
              <w:spacing w:line="240" w:lineRule="auto"/>
              <w:ind w:left="62" w:right="62"/>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Jumlah</w:t>
            </w:r>
          </w:p>
        </w:tc>
        <w:tc>
          <w:tcPr>
            <w:tcW w:w="1554" w:type="dxa"/>
            <w:tcBorders>
              <w:bottom w:val="nil"/>
            </w:tcBorders>
            <w:shd w:val="clear" w:color="auto" w:fill="FFFFFF"/>
            <w:vAlign w:val="center"/>
          </w:tcPr>
          <w:p w14:paraId="52FAB013"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441.000</w:t>
            </w:r>
          </w:p>
        </w:tc>
        <w:tc>
          <w:tcPr>
            <w:tcW w:w="1706" w:type="dxa"/>
            <w:tcBorders>
              <w:bottom w:val="nil"/>
            </w:tcBorders>
            <w:shd w:val="clear" w:color="auto" w:fill="FFFFFF"/>
            <w:vAlign w:val="center"/>
          </w:tcPr>
          <w:p w14:paraId="7641ABA8"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75</w:t>
            </w:r>
          </w:p>
        </w:tc>
        <w:tc>
          <w:tcPr>
            <w:tcW w:w="1038" w:type="dxa"/>
            <w:tcBorders>
              <w:bottom w:val="nil"/>
            </w:tcBorders>
            <w:shd w:val="clear" w:color="auto" w:fill="FFFFFF"/>
          </w:tcPr>
          <w:p w14:paraId="5063354E"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p>
        </w:tc>
        <w:tc>
          <w:tcPr>
            <w:tcW w:w="1000" w:type="dxa"/>
            <w:tcBorders>
              <w:bottom w:val="nil"/>
            </w:tcBorders>
            <w:shd w:val="clear" w:color="auto" w:fill="FFFFFF"/>
          </w:tcPr>
          <w:p w14:paraId="0900D31F"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p>
        </w:tc>
        <w:tc>
          <w:tcPr>
            <w:tcW w:w="1000" w:type="dxa"/>
            <w:tcBorders>
              <w:bottom w:val="nil"/>
            </w:tcBorders>
            <w:shd w:val="clear" w:color="auto" w:fill="FFFFFF"/>
          </w:tcPr>
          <w:p w14:paraId="7FB0014F"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p>
        </w:tc>
      </w:tr>
      <w:tr w:rsidR="007913AC" w:rsidRPr="009A1E84" w14:paraId="01EAAC33" w14:textId="77777777" w:rsidTr="009A1E84">
        <w:trPr>
          <w:cantSplit/>
          <w:trHeight w:val="80"/>
        </w:trPr>
        <w:tc>
          <w:tcPr>
            <w:tcW w:w="1985" w:type="dxa"/>
            <w:tcBorders>
              <w:top w:val="nil"/>
              <w:bottom w:val="single" w:sz="4" w:space="0" w:color="auto"/>
            </w:tcBorders>
            <w:shd w:val="clear" w:color="auto" w:fill="FFFFFF"/>
            <w:vAlign w:val="center"/>
          </w:tcPr>
          <w:p w14:paraId="119C910D" w14:textId="77777777" w:rsidR="007913AC" w:rsidRPr="009A1E84" w:rsidRDefault="007913AC" w:rsidP="009A1E84">
            <w:pPr>
              <w:autoSpaceDE w:val="0"/>
              <w:autoSpaceDN w:val="0"/>
              <w:adjustRightInd w:val="0"/>
              <w:spacing w:line="240" w:lineRule="auto"/>
              <w:ind w:left="62" w:right="62"/>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Corrected Total</w:t>
            </w:r>
          </w:p>
        </w:tc>
        <w:tc>
          <w:tcPr>
            <w:tcW w:w="1554" w:type="dxa"/>
            <w:tcBorders>
              <w:top w:val="nil"/>
              <w:bottom w:val="single" w:sz="4" w:space="0" w:color="auto"/>
            </w:tcBorders>
            <w:shd w:val="clear" w:color="auto" w:fill="FFFFFF"/>
            <w:vAlign w:val="center"/>
          </w:tcPr>
          <w:p w14:paraId="3E75566C"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32.667</w:t>
            </w:r>
          </w:p>
        </w:tc>
        <w:tc>
          <w:tcPr>
            <w:tcW w:w="1706" w:type="dxa"/>
            <w:tcBorders>
              <w:top w:val="nil"/>
              <w:bottom w:val="single" w:sz="4" w:space="0" w:color="auto"/>
            </w:tcBorders>
            <w:shd w:val="clear" w:color="auto" w:fill="FFFFFF"/>
            <w:vAlign w:val="center"/>
          </w:tcPr>
          <w:p w14:paraId="368137A4"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74</w:t>
            </w:r>
          </w:p>
        </w:tc>
        <w:tc>
          <w:tcPr>
            <w:tcW w:w="1038" w:type="dxa"/>
            <w:tcBorders>
              <w:top w:val="nil"/>
              <w:bottom w:val="single" w:sz="4" w:space="0" w:color="auto"/>
            </w:tcBorders>
            <w:shd w:val="clear" w:color="auto" w:fill="FFFFFF"/>
          </w:tcPr>
          <w:p w14:paraId="16405038"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p>
        </w:tc>
        <w:tc>
          <w:tcPr>
            <w:tcW w:w="1000" w:type="dxa"/>
            <w:tcBorders>
              <w:top w:val="nil"/>
              <w:bottom w:val="single" w:sz="4" w:space="0" w:color="auto"/>
            </w:tcBorders>
            <w:shd w:val="clear" w:color="auto" w:fill="FFFFFF"/>
          </w:tcPr>
          <w:p w14:paraId="3C522C51"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p>
        </w:tc>
        <w:tc>
          <w:tcPr>
            <w:tcW w:w="1000" w:type="dxa"/>
            <w:tcBorders>
              <w:top w:val="nil"/>
              <w:bottom w:val="single" w:sz="4" w:space="0" w:color="auto"/>
            </w:tcBorders>
            <w:shd w:val="clear" w:color="auto" w:fill="FFFFFF"/>
          </w:tcPr>
          <w:p w14:paraId="377AED34" w14:textId="77777777" w:rsidR="007913AC" w:rsidRPr="009A1E84" w:rsidRDefault="007913AC" w:rsidP="009A1E84">
            <w:pPr>
              <w:autoSpaceDE w:val="0"/>
              <w:autoSpaceDN w:val="0"/>
              <w:adjustRightInd w:val="0"/>
              <w:spacing w:line="240" w:lineRule="auto"/>
              <w:ind w:left="62" w:right="62"/>
              <w:jc w:val="center"/>
              <w:rPr>
                <w:rFonts w:ascii="Times New Roman" w:eastAsia="Calibri" w:hAnsi="Times New Roman" w:cs="Times New Roman"/>
                <w:sz w:val="20"/>
                <w:szCs w:val="20"/>
                <w:lang w:val="ms-MY"/>
              </w:rPr>
            </w:pPr>
          </w:p>
        </w:tc>
      </w:tr>
      <w:tr w:rsidR="007913AC" w:rsidRPr="009A1E84" w14:paraId="0E5EC94A" w14:textId="77777777" w:rsidTr="0010777E">
        <w:trPr>
          <w:cantSplit/>
        </w:trPr>
        <w:tc>
          <w:tcPr>
            <w:tcW w:w="8283" w:type="dxa"/>
            <w:gridSpan w:val="6"/>
            <w:tcBorders>
              <w:top w:val="single" w:sz="4" w:space="0" w:color="auto"/>
            </w:tcBorders>
            <w:shd w:val="clear" w:color="auto" w:fill="FFFFFF"/>
          </w:tcPr>
          <w:p w14:paraId="22DCDEDF" w14:textId="77777777" w:rsidR="007913AC" w:rsidRPr="009A1E84" w:rsidRDefault="007913AC" w:rsidP="009A1E84">
            <w:pPr>
              <w:autoSpaceDE w:val="0"/>
              <w:autoSpaceDN w:val="0"/>
              <w:adjustRightInd w:val="0"/>
              <w:spacing w:line="240" w:lineRule="auto"/>
              <w:ind w:left="62" w:right="62"/>
              <w:rPr>
                <w:rFonts w:ascii="Times New Roman" w:eastAsia="Calibri" w:hAnsi="Times New Roman" w:cs="Times New Roman"/>
                <w:sz w:val="20"/>
                <w:szCs w:val="20"/>
                <w:lang w:val="ms-MY"/>
              </w:rPr>
            </w:pPr>
            <w:r w:rsidRPr="009A1E84">
              <w:rPr>
                <w:rFonts w:ascii="Times New Roman" w:eastAsia="Calibri" w:hAnsi="Times New Roman" w:cs="Times New Roman"/>
                <w:sz w:val="20"/>
                <w:szCs w:val="20"/>
                <w:lang w:val="ms-MY"/>
              </w:rPr>
              <w:t>a. R Squared = .297 (Adjusted R Squared = .187)</w:t>
            </w:r>
          </w:p>
        </w:tc>
      </w:tr>
    </w:tbl>
    <w:p w14:paraId="655CCFCE" w14:textId="77777777" w:rsidR="007913AC" w:rsidRPr="009A1E84" w:rsidRDefault="007913AC" w:rsidP="009A1E84">
      <w:pPr>
        <w:spacing w:line="240" w:lineRule="auto"/>
        <w:contextualSpacing/>
        <w:rPr>
          <w:rFonts w:ascii="Times New Roman" w:eastAsia="SimSun" w:hAnsi="Times New Roman" w:cs="Times New Roman"/>
          <w:b/>
          <w:sz w:val="20"/>
          <w:szCs w:val="20"/>
          <w:lang w:val="ms-MY" w:eastAsia="zh-CN"/>
        </w:rPr>
      </w:pPr>
    </w:p>
    <w:p w14:paraId="349D0D52" w14:textId="77777777" w:rsidR="007913AC" w:rsidRPr="00B53C29" w:rsidRDefault="007913AC" w:rsidP="009A1E84">
      <w:pPr>
        <w:spacing w:line="240" w:lineRule="auto"/>
        <w:rPr>
          <w:rFonts w:ascii="Times New Roman" w:eastAsia="Calibri" w:hAnsi="Times New Roman" w:cs="Times New Roman"/>
          <w:sz w:val="24"/>
          <w:szCs w:val="24"/>
          <w:lang w:val="ms-MY"/>
        </w:rPr>
      </w:pPr>
    </w:p>
    <w:p w14:paraId="2F9E6EF5" w14:textId="77777777" w:rsidR="00521596" w:rsidRDefault="007913AC" w:rsidP="00521596">
      <w:pPr>
        <w:spacing w:after="0" w:line="360" w:lineRule="auto"/>
        <w:jc w:val="both"/>
        <w:rPr>
          <w:rFonts w:ascii="Times New Roman" w:eastAsia="Calibri" w:hAnsi="Times New Roman" w:cs="Times New Roman"/>
          <w:sz w:val="24"/>
          <w:szCs w:val="24"/>
          <w:lang w:val="ms-MY"/>
        </w:rPr>
      </w:pPr>
      <w:r w:rsidRPr="00B53C29">
        <w:rPr>
          <w:rFonts w:ascii="Times New Roman" w:eastAsia="Calibri" w:hAnsi="Times New Roman" w:cs="Times New Roman"/>
          <w:sz w:val="24"/>
          <w:szCs w:val="24"/>
          <w:lang w:val="ms-MY"/>
        </w:rPr>
        <w:t xml:space="preserve">Dapat disimpulkan bahawa pemilikan modal sosial ikatan berbeza antara sebelum dan selepas memeluk Islam. Manakala perbezaan tersebut tidak dipengaruhi oleh faktor masa, sama ada baru memeluk Islam atau telah lama memeluk Islam. Hasil ini membuktikan perbezaan agama dan halangan daripada keluarga Melayu Muslim merupakan faktor kepada lemahnya modal sosial ikatan dalam kalangan responden. Perbezaan nilai dan halangan tersebut telah merapuhkan pemilikan modal sosial ikatan. Hal ini selari dengan W.A Amir Zal (2016) yang </w:t>
      </w:r>
      <w:r w:rsidRPr="00B53C29">
        <w:rPr>
          <w:rFonts w:ascii="Times New Roman" w:eastAsia="Calibri" w:hAnsi="Times New Roman" w:cs="Times New Roman"/>
          <w:sz w:val="24"/>
          <w:szCs w:val="24"/>
          <w:lang w:val="ms-MY"/>
        </w:rPr>
        <w:lastRenderedPageBreak/>
        <w:t xml:space="preserve">menyatakan bahawa pemilikan modal sosial ikatan boleh terancam sekiranya kerapuhan modal sosial ikatan tinggi. Selain itu, perbezaan agama dalam kalangan responden tidak menyebabkan pemilikan modal sosial ikatan berubah disebabkan oleh faktor tempoh responden itu memeluk Islam. Ini menunjukkan pemilikan modal sosial ikatan adalah berterusan dan ini tidak selari dengan pandangan yang menyatakan ahli keluarga Cina menerima pengislaman Cina Muslim setelah melalui beberapa tempoh masa yang tertentu (Osman Chuah, 1997; Nuraisyah, 2006; Zainab &amp; Wan Ibrahim, 2009). Hasil ini juga menjelaskan bahawa penerimaan perbezaan agama tidak menjadikan pemilikan modal sosial ikatan kembali kuat selepas jangka masa yang tertentu dan ini disebabkan Cina Muslim kurang memahami ajaran Islam yang sebenar dalam konteks hubungan dengan keluarga bukan Islam.   </w:t>
      </w:r>
    </w:p>
    <w:p w14:paraId="5AC69EB5" w14:textId="77777777" w:rsidR="00521596" w:rsidRDefault="00521596" w:rsidP="00521596">
      <w:pPr>
        <w:spacing w:after="0" w:line="360" w:lineRule="auto"/>
        <w:jc w:val="both"/>
        <w:rPr>
          <w:rFonts w:asciiTheme="majorBidi" w:eastAsiaTheme="majorEastAsia" w:hAnsiTheme="majorBidi" w:cstheme="majorBidi"/>
          <w:b/>
          <w:bCs/>
          <w:sz w:val="24"/>
          <w:szCs w:val="28"/>
          <w:lang w:val="ms-MY"/>
        </w:rPr>
      </w:pPr>
    </w:p>
    <w:p w14:paraId="7C4F9A16" w14:textId="22348FF3" w:rsidR="00521596" w:rsidRDefault="00521596" w:rsidP="00521596">
      <w:pPr>
        <w:spacing w:after="0" w:line="360" w:lineRule="auto"/>
        <w:jc w:val="both"/>
        <w:rPr>
          <w:rFonts w:asciiTheme="majorBidi" w:eastAsiaTheme="majorEastAsia" w:hAnsiTheme="majorBidi" w:cstheme="majorBidi"/>
          <w:b/>
          <w:bCs/>
          <w:sz w:val="24"/>
          <w:szCs w:val="28"/>
          <w:lang w:val="ms-MY"/>
        </w:rPr>
      </w:pPr>
      <w:r>
        <w:rPr>
          <w:rFonts w:asciiTheme="majorBidi" w:eastAsiaTheme="majorEastAsia" w:hAnsiTheme="majorBidi" w:cstheme="majorBidi"/>
          <w:b/>
          <w:bCs/>
          <w:sz w:val="24"/>
          <w:szCs w:val="28"/>
          <w:lang w:val="ms-MY"/>
        </w:rPr>
        <w:t xml:space="preserve">5.0 </w:t>
      </w:r>
      <w:r w:rsidR="009A1E84" w:rsidRPr="00521596">
        <w:rPr>
          <w:rFonts w:asciiTheme="majorBidi" w:eastAsiaTheme="majorEastAsia" w:hAnsiTheme="majorBidi" w:cstheme="majorBidi"/>
          <w:b/>
          <w:bCs/>
          <w:sz w:val="24"/>
          <w:szCs w:val="28"/>
          <w:lang w:val="ms-MY"/>
        </w:rPr>
        <w:t>KESIMPULA</w:t>
      </w:r>
      <w:r>
        <w:rPr>
          <w:rFonts w:asciiTheme="majorBidi" w:eastAsiaTheme="majorEastAsia" w:hAnsiTheme="majorBidi" w:cstheme="majorBidi"/>
          <w:b/>
          <w:bCs/>
          <w:sz w:val="24"/>
          <w:szCs w:val="28"/>
          <w:lang w:val="ms-MY"/>
        </w:rPr>
        <w:t>N</w:t>
      </w:r>
    </w:p>
    <w:p w14:paraId="11E93210" w14:textId="77777777" w:rsidR="00521596" w:rsidRDefault="00521596" w:rsidP="00521596">
      <w:pPr>
        <w:spacing w:after="0" w:line="360" w:lineRule="auto"/>
        <w:jc w:val="both"/>
        <w:rPr>
          <w:rFonts w:asciiTheme="majorBidi" w:eastAsia="Times New Roman" w:hAnsiTheme="majorBidi" w:cs="Times New Roman"/>
          <w:sz w:val="24"/>
          <w:szCs w:val="24"/>
          <w:lang w:val="ms-MY"/>
        </w:rPr>
      </w:pPr>
    </w:p>
    <w:p w14:paraId="27171A07" w14:textId="08431E2C" w:rsidR="004A12DA" w:rsidRPr="00521596" w:rsidRDefault="004A12DA" w:rsidP="00521596">
      <w:pPr>
        <w:spacing w:after="0" w:line="360" w:lineRule="auto"/>
        <w:jc w:val="both"/>
        <w:rPr>
          <w:rFonts w:ascii="Times New Roman" w:eastAsia="Calibri" w:hAnsi="Times New Roman" w:cs="Times New Roman"/>
          <w:sz w:val="24"/>
          <w:szCs w:val="24"/>
          <w:lang w:val="ms-MY"/>
        </w:rPr>
      </w:pPr>
      <w:r w:rsidRPr="004A12DA">
        <w:rPr>
          <w:rFonts w:asciiTheme="majorBidi" w:eastAsia="Times New Roman" w:hAnsiTheme="majorBidi" w:cs="Times New Roman"/>
          <w:sz w:val="24"/>
          <w:szCs w:val="24"/>
          <w:lang w:val="ms-MY"/>
        </w:rPr>
        <w:t xml:space="preserve">Pemilikan modal sosial ikatan responden menunjukkan mereka akrab sebelum memeluk agama Islam dan menjadi sederhana selepas memeluk agama Islam. Begitu juga dengan kekerapan berhubung yang mana kerap sebelum memeluk agama Islam menjadi kadang-kadang sahaja selepas mereka memeluk Islam. Dari aspek perbezaan pula, menunjukkan terdapat perbezaan yang signifikan pemilikan modal sosial ikatan antara sebelum dan selepas memeluk agama Islam. Perbezaan tersebut tidak dipengaruhi oleh tempoh mereka memeluk agama Islam. Hasil kajian ini menjelaskan bahawa pengislaman responden telah menyebabkan sempadan dibina dengan membentuk nilai-nilai baru yang tidak lagi sama dengan modal sosial ikatan sehingga berlaku perubahan dalam modal sosial ikatan dan boleh mengancam kepada kerapuhan modal sosial ikatan. Perubahan pemilikan modal sosial ikatan memberi implikasi yang negatif terhadap responden. Antara implikasinya responden hilang sokongan sosial dalam komunitinya sendiri begitu juga sokongan ekonomi dan dikhuatiri putusnya hubungan kekeluargaan antara responden dengan modal sosial ikatan. Secara tidak langsung ia juga memberikan pandangan yang negatif keluarga yang bukan Islam terhadap agama Islam dan komuniti Muslim. Oleh itu, komuniti Cina Muslim perlu diperbaiki dengan meningkatkan lagi perhubungan dan interaksi </w:t>
      </w:r>
      <w:r w:rsidRPr="004A12DA">
        <w:rPr>
          <w:rFonts w:asciiTheme="majorBidi" w:eastAsia="Times New Roman" w:hAnsiTheme="majorBidi" w:cs="Times New Roman"/>
          <w:sz w:val="24"/>
          <w:szCs w:val="24"/>
          <w:lang w:val="ms-MY"/>
        </w:rPr>
        <w:lastRenderedPageBreak/>
        <w:t xml:space="preserve">dengan modal sosial ikatan. Komuniti Cina Muslim juga perlu tahu bahawa agama Islam yang mereka anuti sangat menekankan hubungan yang baik dengan keluarga asal yang bukan beragama Islam. Selain itu, terdapat juga kaedah-kaedah fiqh tertentu yang perlu difahami oleh komuniti Cina Muslim untuk memudahkan mereka berhubung dengan keluarga yang bukan beragama Islam. Melalui usaha ini, komuniti Cina Muslim mampu meletakkan kembali posisi mereka sebagai sebahagian daripada modal sosial ikatan secara inklusif walaupun sudah berbeza dalam aspek agama dan nilai. </w:t>
      </w:r>
    </w:p>
    <w:p w14:paraId="173AC6BF" w14:textId="77777777" w:rsidR="009A1E84" w:rsidRDefault="009A1E84" w:rsidP="007913AC">
      <w:pPr>
        <w:keepNext/>
        <w:keepLines/>
        <w:spacing w:before="240" w:after="120" w:line="240" w:lineRule="auto"/>
        <w:jc w:val="both"/>
        <w:outlineLvl w:val="0"/>
        <w:rPr>
          <w:rFonts w:asciiTheme="majorBidi" w:eastAsia="Times New Roman" w:hAnsiTheme="majorBidi" w:cs="Times New Roman"/>
          <w:sz w:val="24"/>
          <w:szCs w:val="24"/>
          <w:lang w:val="ms-MY"/>
        </w:rPr>
      </w:pPr>
    </w:p>
    <w:p w14:paraId="7AE8A17D" w14:textId="3DA6CBBC" w:rsidR="007913AC" w:rsidRPr="00B53C29" w:rsidRDefault="009A1E84" w:rsidP="007913AC">
      <w:pPr>
        <w:keepNext/>
        <w:keepLines/>
        <w:spacing w:before="240" w:after="120" w:line="240" w:lineRule="auto"/>
        <w:jc w:val="both"/>
        <w:outlineLvl w:val="0"/>
        <w:rPr>
          <w:rFonts w:asciiTheme="majorBidi" w:eastAsiaTheme="majorEastAsia" w:hAnsiTheme="majorBidi" w:cstheme="majorBidi"/>
          <w:b/>
          <w:bCs/>
          <w:sz w:val="24"/>
          <w:szCs w:val="28"/>
          <w:lang w:val="ms-MY"/>
        </w:rPr>
      </w:pPr>
      <w:r>
        <w:rPr>
          <w:rFonts w:asciiTheme="majorBidi" w:eastAsiaTheme="majorEastAsia" w:hAnsiTheme="majorBidi" w:cstheme="majorBidi"/>
          <w:b/>
          <w:bCs/>
          <w:sz w:val="24"/>
          <w:szCs w:val="28"/>
          <w:lang w:val="ms-MY"/>
        </w:rPr>
        <w:t>6</w:t>
      </w:r>
      <w:r w:rsidR="00307D30">
        <w:rPr>
          <w:rFonts w:asciiTheme="majorBidi" w:eastAsiaTheme="majorEastAsia" w:hAnsiTheme="majorBidi" w:cstheme="majorBidi"/>
          <w:b/>
          <w:bCs/>
          <w:sz w:val="24"/>
          <w:szCs w:val="28"/>
          <w:lang w:val="ms-MY"/>
        </w:rPr>
        <w:t xml:space="preserve">.0 </w:t>
      </w:r>
      <w:r w:rsidR="007913AC" w:rsidRPr="00B53C29">
        <w:rPr>
          <w:rFonts w:asciiTheme="majorBidi" w:eastAsiaTheme="majorEastAsia" w:hAnsiTheme="majorBidi" w:cstheme="majorBidi"/>
          <w:b/>
          <w:bCs/>
          <w:sz w:val="24"/>
          <w:szCs w:val="28"/>
          <w:lang w:val="ms-MY"/>
        </w:rPr>
        <w:t>R</w:t>
      </w:r>
      <w:r>
        <w:rPr>
          <w:rFonts w:asciiTheme="majorBidi" w:eastAsiaTheme="majorEastAsia" w:hAnsiTheme="majorBidi" w:cstheme="majorBidi"/>
          <w:b/>
          <w:bCs/>
          <w:sz w:val="24"/>
          <w:szCs w:val="28"/>
          <w:lang w:val="ms-MY"/>
        </w:rPr>
        <w:t>UJUKAN</w:t>
      </w:r>
    </w:p>
    <w:p w14:paraId="46EF1C21" w14:textId="28BAC0FB" w:rsidR="007913AC" w:rsidRDefault="007913AC" w:rsidP="007E7F44">
      <w:pPr>
        <w:spacing w:after="0" w:line="240" w:lineRule="auto"/>
        <w:jc w:val="both"/>
        <w:rPr>
          <w:rFonts w:asciiTheme="majorBidi" w:eastAsia="Times New Roman" w:hAnsiTheme="majorBidi" w:cs="Times New Roman"/>
          <w:sz w:val="24"/>
          <w:szCs w:val="24"/>
          <w:lang w:val="ms-MY"/>
        </w:rPr>
      </w:pPr>
    </w:p>
    <w:p w14:paraId="1BEFDD54"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 xml:space="preserve">Agnitsch, K., Flora, J., Ryan, V., 2006. </w:t>
      </w:r>
      <w:r w:rsidRPr="00307D30">
        <w:rPr>
          <w:rFonts w:ascii="Times New Roman" w:eastAsia="Calibri" w:hAnsi="Times New Roman" w:cs="Times New Roman"/>
          <w:i/>
          <w:sz w:val="24"/>
          <w:szCs w:val="24"/>
          <w:lang w:val="ms-MY"/>
        </w:rPr>
        <w:t>Bonding and bridging social capital: the interactive effects on community action</w:t>
      </w:r>
      <w:r w:rsidRPr="00307D30">
        <w:rPr>
          <w:rFonts w:ascii="Times New Roman" w:eastAsia="Calibri" w:hAnsi="Times New Roman" w:cs="Times New Roman"/>
          <w:sz w:val="24"/>
          <w:szCs w:val="24"/>
          <w:lang w:val="ms-MY"/>
        </w:rPr>
        <w:t>. Journal of Community Development. 37 (1), 36e51.</w:t>
      </w:r>
    </w:p>
    <w:p w14:paraId="5C0AAAF8"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 xml:space="preserve">Amran Kasimin. (1985). </w:t>
      </w:r>
      <w:r w:rsidRPr="00307D30">
        <w:rPr>
          <w:rFonts w:ascii="Times New Roman" w:eastAsia="Calibri" w:hAnsi="Times New Roman" w:cs="Times New Roman"/>
          <w:i/>
          <w:sz w:val="24"/>
          <w:szCs w:val="24"/>
          <w:lang w:val="ms-MY"/>
        </w:rPr>
        <w:t>Saudara Baru Cina di Wilayah Persekutuan dan Selangor</w:t>
      </w:r>
      <w:r w:rsidRPr="00307D30">
        <w:rPr>
          <w:rFonts w:ascii="Times New Roman" w:eastAsia="Calibri" w:hAnsi="Times New Roman" w:cs="Times New Roman"/>
          <w:sz w:val="24"/>
          <w:szCs w:val="24"/>
          <w:lang w:val="ms-MY"/>
        </w:rPr>
        <w:t>. Bangi: Penerbit UKM.</w:t>
      </w:r>
    </w:p>
    <w:p w14:paraId="204DC290"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 xml:space="preserve">Bowen, G. A. (2009). </w:t>
      </w:r>
      <w:r w:rsidRPr="00307D30">
        <w:rPr>
          <w:rFonts w:ascii="Times New Roman" w:eastAsia="Calibri" w:hAnsi="Times New Roman" w:cs="Times New Roman"/>
          <w:i/>
          <w:sz w:val="24"/>
          <w:szCs w:val="24"/>
          <w:lang w:val="ms-MY"/>
        </w:rPr>
        <w:t>Social Capital, Social Funds and Poor Communities: As Exploratory Analysis</w:t>
      </w:r>
      <w:r w:rsidRPr="00307D30">
        <w:rPr>
          <w:rFonts w:ascii="Times New Roman" w:eastAsia="Calibri" w:hAnsi="Times New Roman" w:cs="Times New Roman"/>
          <w:sz w:val="24"/>
          <w:szCs w:val="24"/>
          <w:lang w:val="ms-MY"/>
        </w:rPr>
        <w:t>. Social Policy &amp; Administration 43:245-269.</w:t>
      </w:r>
    </w:p>
    <w:p w14:paraId="622DD950"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Che Ku Shalihah bt. Che Ku Abdul Satar. (2004). Hubungan  Kekeluargaan   Saudara Kita. Tesis B.A., Pengajian Islam. Universiti Teknologi Malaysia.</w:t>
      </w:r>
    </w:p>
    <w:p w14:paraId="13F6CB73"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 xml:space="preserve">Coser Lewis A., (1956). </w:t>
      </w:r>
      <w:r w:rsidRPr="00307D30">
        <w:rPr>
          <w:rFonts w:ascii="Times New Roman" w:eastAsia="Calibri" w:hAnsi="Times New Roman" w:cs="Times New Roman"/>
          <w:i/>
          <w:sz w:val="24"/>
          <w:szCs w:val="24"/>
          <w:lang w:val="ms-MY"/>
        </w:rPr>
        <w:t>The Function of Social Conflict</w:t>
      </w:r>
      <w:r w:rsidRPr="00307D30">
        <w:rPr>
          <w:rFonts w:ascii="Times New Roman" w:eastAsia="Calibri" w:hAnsi="Times New Roman" w:cs="Times New Roman"/>
          <w:sz w:val="24"/>
          <w:szCs w:val="24"/>
          <w:lang w:val="ms-MY"/>
        </w:rPr>
        <w:t>. New York. The Free press.</w:t>
      </w:r>
    </w:p>
    <w:p w14:paraId="7DE7B824"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Creswell, J. W., Clark, VL. P. (2006). Designing and Conducting Mixed Methods Research. USA: SAGE Publications.</w:t>
      </w:r>
    </w:p>
    <w:p w14:paraId="3D903437"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 xml:space="preserve">Dale, A. and Sparkes, J. (2008). </w:t>
      </w:r>
      <w:r w:rsidRPr="00307D30">
        <w:rPr>
          <w:rFonts w:ascii="Times New Roman" w:eastAsia="Calibri" w:hAnsi="Times New Roman" w:cs="Times New Roman"/>
          <w:i/>
          <w:sz w:val="24"/>
          <w:szCs w:val="24"/>
          <w:lang w:val="ms-MY"/>
        </w:rPr>
        <w:t>Protecting Ecosystem: Network Structure and Social Capital Mobilization</w:t>
      </w:r>
      <w:r w:rsidRPr="00307D30">
        <w:rPr>
          <w:rFonts w:ascii="Times New Roman" w:eastAsia="Calibri" w:hAnsi="Times New Roman" w:cs="Times New Roman"/>
          <w:sz w:val="24"/>
          <w:szCs w:val="24"/>
          <w:lang w:val="ms-MY"/>
        </w:rPr>
        <w:t>. Community Development Journal, 43(2): 143-156.</w:t>
      </w:r>
    </w:p>
    <w:p w14:paraId="602FF4A0"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Gittel, R., &amp; Vidal, A. (1998). Community Organizing: Building Social Capital As A Development Strategy. Thousand Oaks, CA: Sage Publications.</w:t>
      </w:r>
    </w:p>
    <w:p w14:paraId="2AC88561"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Grant, E. (2001). Social Capital and Community Strategies: Neighbourhood Development in Guatemala City. Development and Change, 32: 975-997.</w:t>
      </w:r>
    </w:p>
    <w:p w14:paraId="69B19940"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p>
    <w:p w14:paraId="5D51233C"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 xml:space="preserve">Hanapi Dollah. (2007). </w:t>
      </w:r>
      <w:r w:rsidRPr="00307D30">
        <w:rPr>
          <w:rFonts w:ascii="Times New Roman" w:eastAsia="Calibri" w:hAnsi="Times New Roman" w:cs="Times New Roman"/>
          <w:i/>
          <w:sz w:val="24"/>
          <w:szCs w:val="24"/>
          <w:lang w:val="ms-MY"/>
        </w:rPr>
        <w:t>Kampung Cina Bekelam. Dalam Warisan Kelantan</w:t>
      </w:r>
      <w:r w:rsidRPr="00307D30">
        <w:rPr>
          <w:rFonts w:ascii="Times New Roman" w:eastAsia="Calibri" w:hAnsi="Times New Roman" w:cs="Times New Roman"/>
          <w:sz w:val="24"/>
          <w:szCs w:val="24"/>
          <w:lang w:val="ms-MY"/>
        </w:rPr>
        <w:t xml:space="preserve"> xxi. Monograf Perbadanan Muzium Negeri Kelantan. Kuala Lumpur. United Press Sdn. Bhd.</w:t>
      </w:r>
    </w:p>
    <w:p w14:paraId="0CC19FB9"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 xml:space="preserve">Hofer, M., &amp; Aubert, V. (2013). </w:t>
      </w:r>
      <w:r w:rsidRPr="00307D30">
        <w:rPr>
          <w:rFonts w:ascii="Times New Roman" w:eastAsia="Calibri" w:hAnsi="Times New Roman" w:cs="Times New Roman"/>
          <w:i/>
          <w:sz w:val="24"/>
          <w:szCs w:val="24"/>
          <w:lang w:val="ms-MY"/>
        </w:rPr>
        <w:t>Perceived Bridging and Bonding Social Capital On Twitter: Differentiating Between Followers and Followees</w:t>
      </w:r>
      <w:r w:rsidRPr="00307D30">
        <w:rPr>
          <w:rFonts w:ascii="Times New Roman" w:eastAsia="Calibri" w:hAnsi="Times New Roman" w:cs="Times New Roman"/>
          <w:sz w:val="24"/>
          <w:szCs w:val="24"/>
          <w:lang w:val="ms-MY"/>
        </w:rPr>
        <w:t>. Computers in Human Behavior, 29, 2134-2142. Doi:10.1016/J.Chb.2013.04.038.</w:t>
      </w:r>
    </w:p>
    <w:p w14:paraId="7B193766"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 xml:space="preserve">Jacobs, Cheryl, (2011).  </w:t>
      </w:r>
      <w:r w:rsidRPr="00307D30">
        <w:rPr>
          <w:rFonts w:ascii="Times New Roman" w:eastAsia="Calibri" w:hAnsi="Times New Roman" w:cs="Times New Roman"/>
          <w:i/>
          <w:sz w:val="24"/>
          <w:szCs w:val="24"/>
          <w:lang w:val="ms-MY"/>
        </w:rPr>
        <w:t>Communitiy Capitals: Cultural Capital</w:t>
      </w:r>
      <w:r w:rsidRPr="00307D30">
        <w:rPr>
          <w:rFonts w:ascii="Times New Roman" w:eastAsia="Calibri" w:hAnsi="Times New Roman" w:cs="Times New Roman"/>
          <w:sz w:val="24"/>
          <w:szCs w:val="24"/>
          <w:lang w:val="ms-MY"/>
        </w:rPr>
        <w:t xml:space="preserve">. SDSU Extra Archives. Paper 519. </w:t>
      </w:r>
      <w:hyperlink r:id="rId9" w:history="1">
        <w:r w:rsidRPr="00307D30">
          <w:rPr>
            <w:rFonts w:ascii="Times New Roman" w:eastAsia="Calibri" w:hAnsi="Times New Roman" w:cs="Times New Roman"/>
            <w:color w:val="0000FF"/>
            <w:sz w:val="24"/>
            <w:szCs w:val="24"/>
            <w:u w:val="single"/>
            <w:lang w:val="ms-MY"/>
          </w:rPr>
          <w:t>http://openprairie.sdstate.edu/extension_extra</w:t>
        </w:r>
      </w:hyperlink>
      <w:r w:rsidRPr="00307D30">
        <w:rPr>
          <w:rFonts w:ascii="Times New Roman" w:eastAsia="Calibri" w:hAnsi="Times New Roman" w:cs="Times New Roman"/>
          <w:sz w:val="24"/>
          <w:szCs w:val="24"/>
          <w:lang w:val="ms-MY"/>
        </w:rPr>
        <w:t>.</w:t>
      </w:r>
    </w:p>
    <w:p w14:paraId="116F30EE"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lastRenderedPageBreak/>
        <w:t>Krasny, M. E. Kalbacker, L. Stedman R. C. and  Russ. A. (2015). Measuring Social Capital Among Youth: Applications in Environmental Education. Environmental Education Research, 21:1, 1-23, DOI: 10.1080/13504622.2013.843647.</w:t>
      </w:r>
    </w:p>
    <w:p w14:paraId="71B4CB16"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 xml:space="preserve">Lam Yuen Yu Joy. (2005). </w:t>
      </w:r>
      <w:r w:rsidRPr="00307D30">
        <w:rPr>
          <w:rFonts w:ascii="Times New Roman" w:eastAsia="Calibri" w:hAnsi="Times New Roman" w:cs="Times New Roman"/>
          <w:i/>
          <w:sz w:val="24"/>
          <w:szCs w:val="24"/>
          <w:lang w:val="ms-MY"/>
        </w:rPr>
        <w:t>Religious Conversion and Reconstruction of Identities: The Case of Chinese Muslim Converts In Malaysia</w:t>
      </w:r>
      <w:r w:rsidRPr="00307D30">
        <w:rPr>
          <w:rFonts w:ascii="Times New Roman" w:eastAsia="Calibri" w:hAnsi="Times New Roman" w:cs="Times New Roman"/>
          <w:sz w:val="24"/>
          <w:szCs w:val="24"/>
          <w:lang w:val="ms-MY"/>
        </w:rPr>
        <w:t>. A Master Thesis National University of Singapore.</w:t>
      </w:r>
    </w:p>
    <w:p w14:paraId="3FE006C6"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 xml:space="preserve">Lombard, D. and C. Salmon. (2001). </w:t>
      </w:r>
      <w:r w:rsidRPr="00307D30">
        <w:rPr>
          <w:rFonts w:ascii="Times New Roman" w:eastAsia="Calibri" w:hAnsi="Times New Roman" w:cs="Times New Roman"/>
          <w:i/>
          <w:sz w:val="24"/>
          <w:szCs w:val="24"/>
          <w:lang w:val="ms-MY"/>
        </w:rPr>
        <w:t>Islam and Chineseness. in A. Gordon. The Propagation of Islam in the Indonesian-Malay Archipelago</w:t>
      </w:r>
      <w:r w:rsidRPr="00307D30">
        <w:rPr>
          <w:rFonts w:ascii="Times New Roman" w:eastAsia="Calibri" w:hAnsi="Times New Roman" w:cs="Times New Roman"/>
          <w:sz w:val="24"/>
          <w:szCs w:val="24"/>
          <w:lang w:val="ms-MY"/>
        </w:rPr>
        <w:t>, edited by Kuala Lumpur, Malaysia: Malaysian Sociological Research Institute.</w:t>
      </w:r>
    </w:p>
    <w:p w14:paraId="1070B678"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 xml:space="preserve">Ma, Rosey Wang. (2002). </w:t>
      </w:r>
      <w:r w:rsidRPr="00307D30">
        <w:rPr>
          <w:rFonts w:ascii="Times New Roman" w:eastAsia="Calibri" w:hAnsi="Times New Roman" w:cs="Times New Roman"/>
          <w:i/>
          <w:sz w:val="24"/>
          <w:szCs w:val="24"/>
          <w:lang w:val="ms-MY"/>
        </w:rPr>
        <w:t>Chinese Muslims in Malaysia in Different Periods of History</w:t>
      </w:r>
      <w:r w:rsidRPr="00307D30">
        <w:rPr>
          <w:rFonts w:ascii="Times New Roman" w:eastAsia="Calibri" w:hAnsi="Times New Roman" w:cs="Times New Roman"/>
          <w:sz w:val="24"/>
          <w:szCs w:val="24"/>
          <w:lang w:val="ms-MY"/>
        </w:rPr>
        <w:t>. In Colloquium on Chinese Scholarship on the Malay World Studies. Kuala Lumpur, Universiti Kebangsaan Malaysia.</w:t>
      </w:r>
    </w:p>
    <w:p w14:paraId="4F14D995"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 xml:space="preserve">Marlon P. Guleng, Razaleigh Muhamat@Kawangit, Abu Dardaa Mohamad. (2014). </w:t>
      </w:r>
      <w:r w:rsidRPr="00307D30">
        <w:rPr>
          <w:rFonts w:ascii="Times New Roman" w:eastAsia="Calibri" w:hAnsi="Times New Roman" w:cs="Times New Roman"/>
          <w:i/>
          <w:sz w:val="24"/>
          <w:szCs w:val="24"/>
          <w:lang w:val="ms-MY"/>
        </w:rPr>
        <w:t>Penyesuaian Diri Mualaf Terhadap Masyarakat Dalam Kalangan Pelajar Institut Dakwah Islamiah PERKIM (IDIP).</w:t>
      </w:r>
      <w:r w:rsidRPr="00307D30">
        <w:rPr>
          <w:rFonts w:ascii="Times New Roman" w:eastAsia="Calibri" w:hAnsi="Times New Roman" w:cs="Times New Roman"/>
          <w:sz w:val="24"/>
          <w:szCs w:val="24"/>
          <w:lang w:val="ms-MY"/>
        </w:rPr>
        <w:t xml:space="preserve"> Jurnal Al-Hikmah 6(2014): 73-88.</w:t>
      </w:r>
    </w:p>
    <w:p w14:paraId="6DEC079C"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McMillan, J. H. (2012). Educational Research: Fundamentals for the Consumer (6th Edition).Bonston: Pearson.</w:t>
      </w:r>
    </w:p>
    <w:p w14:paraId="12ECEDC0"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 xml:space="preserve">Mladovsky, P. and Mossialos, E. (2008). </w:t>
      </w:r>
      <w:r w:rsidRPr="00307D30">
        <w:rPr>
          <w:rFonts w:ascii="Times New Roman" w:eastAsia="Calibri" w:hAnsi="Times New Roman" w:cs="Times New Roman"/>
          <w:i/>
          <w:sz w:val="24"/>
          <w:szCs w:val="24"/>
          <w:lang w:val="ms-MY"/>
        </w:rPr>
        <w:t>A Conceptual Framework for Community-based Health Insurance in Low Income Countries: Social Capital and Economic Development</w:t>
      </w:r>
      <w:r w:rsidRPr="00307D30">
        <w:rPr>
          <w:rFonts w:ascii="Times New Roman" w:eastAsia="Calibri" w:hAnsi="Times New Roman" w:cs="Times New Roman"/>
          <w:sz w:val="24"/>
          <w:szCs w:val="24"/>
          <w:lang w:val="ms-MY"/>
        </w:rPr>
        <w:t>. World Development,36 (4), 590-607.</w:t>
      </w:r>
    </w:p>
    <w:p w14:paraId="26699ED1"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 xml:space="preserve">Mohd Syukri Yeoh bin Abdullah and Osman. A. Chuah. (2004). </w:t>
      </w:r>
      <w:r w:rsidRPr="00307D30">
        <w:rPr>
          <w:rFonts w:ascii="Times New Roman" w:eastAsia="Calibri" w:hAnsi="Times New Roman" w:cs="Times New Roman"/>
          <w:i/>
          <w:sz w:val="24"/>
          <w:szCs w:val="24"/>
          <w:lang w:val="ms-MY"/>
        </w:rPr>
        <w:t>The Problems of Mu’allaf in Malaysia</w:t>
      </w:r>
      <w:r w:rsidRPr="00307D30">
        <w:rPr>
          <w:rFonts w:ascii="Times New Roman" w:eastAsia="Calibri" w:hAnsi="Times New Roman" w:cs="Times New Roman"/>
          <w:sz w:val="24"/>
          <w:szCs w:val="24"/>
          <w:lang w:val="ms-MY"/>
        </w:rPr>
        <w:t>. Jurnal Islamiyyat 24 (Malaysia National University, Bangi): 65–84.</w:t>
      </w:r>
    </w:p>
    <w:p w14:paraId="3CFE7704"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 xml:space="preserve">Nagata, Judith A. (1978). </w:t>
      </w:r>
      <w:r w:rsidRPr="00307D30">
        <w:rPr>
          <w:rFonts w:ascii="Times New Roman" w:eastAsia="Calibri" w:hAnsi="Times New Roman" w:cs="Times New Roman"/>
          <w:i/>
          <w:sz w:val="24"/>
          <w:szCs w:val="24"/>
          <w:lang w:val="ms-MY"/>
        </w:rPr>
        <w:t>The Chinese Muslims of Malaysia: new Malays or new associates? a problem of religion and ethnicity.</w:t>
      </w:r>
      <w:r w:rsidRPr="00307D30">
        <w:rPr>
          <w:rFonts w:ascii="Times New Roman" w:eastAsia="Calibri" w:hAnsi="Times New Roman" w:cs="Times New Roman"/>
          <w:sz w:val="24"/>
          <w:szCs w:val="24"/>
          <w:lang w:val="ms-MY"/>
        </w:rPr>
        <w:t>" Pp. 102-114 in The Past in Southeast Asian's Present, edited by G. P. Means. Ottawa: Canadian Society for Asian Studies, Canadian Council for Southeast Asian Studies.</w:t>
      </w:r>
    </w:p>
    <w:p w14:paraId="0928AC0C"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 xml:space="preserve">Novel Lyndon, Lim Jie Wei dan Mohd Helmi Abdul Rahim. (2014). </w:t>
      </w:r>
      <w:r w:rsidRPr="00307D30">
        <w:rPr>
          <w:rFonts w:ascii="Times New Roman" w:eastAsia="Calibri" w:hAnsi="Times New Roman" w:cs="Times New Roman"/>
          <w:i/>
          <w:sz w:val="24"/>
          <w:szCs w:val="24"/>
          <w:lang w:val="ms-MY"/>
        </w:rPr>
        <w:t>Jenis Jaringan Sosial Komuniti Cina Dalam Pemasaran Hasil Pertanian</w:t>
      </w:r>
      <w:r w:rsidRPr="00307D30">
        <w:rPr>
          <w:rFonts w:ascii="Times New Roman" w:eastAsia="Calibri" w:hAnsi="Times New Roman" w:cs="Times New Roman"/>
          <w:sz w:val="24"/>
          <w:szCs w:val="24"/>
          <w:lang w:val="ms-MY"/>
        </w:rPr>
        <w:t>. E-BANGI Vol. 9, No. 1 (2014) 144-157.</w:t>
      </w:r>
    </w:p>
    <w:p w14:paraId="785D08CB"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 xml:space="preserve">Nur A’thiroh Masyaa’il Tan Abdullah @ Tan Ai Pao dan Fariza Md Sham (2009). </w:t>
      </w:r>
      <w:r w:rsidRPr="00307D30">
        <w:rPr>
          <w:rFonts w:ascii="Times New Roman" w:eastAsia="Calibri" w:hAnsi="Times New Roman" w:cs="Times New Roman"/>
          <w:i/>
          <w:sz w:val="24"/>
          <w:szCs w:val="24"/>
          <w:lang w:val="ms-MY"/>
        </w:rPr>
        <w:t>Keperluan Memahami Psikologi Saudara Muslim</w:t>
      </w:r>
      <w:r w:rsidRPr="00307D30">
        <w:rPr>
          <w:rFonts w:ascii="Times New Roman" w:eastAsia="Calibri" w:hAnsi="Times New Roman" w:cs="Times New Roman"/>
          <w:sz w:val="24"/>
          <w:szCs w:val="24"/>
          <w:lang w:val="ms-MY"/>
        </w:rPr>
        <w:t>. Jurnal Hadhari Bil.2.83-97.</w:t>
      </w:r>
    </w:p>
    <w:p w14:paraId="24275C0B"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Nuraisyah Chua Abdullah. (2005). Kisah Saya Saudara Baru. Bentong: PTS Publications &amp; Distributor Sdn Bhd.</w:t>
      </w:r>
    </w:p>
    <w:p w14:paraId="1502D50F"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 xml:space="preserve">Osman Abdullah @ Chuah Hock Leng &amp; Abdul Salam Muhamad Shukri. (2008). </w:t>
      </w:r>
      <w:r w:rsidRPr="00307D30">
        <w:rPr>
          <w:rFonts w:ascii="Times New Roman" w:eastAsia="Calibri" w:hAnsi="Times New Roman" w:cs="Times New Roman"/>
          <w:i/>
          <w:sz w:val="24"/>
          <w:szCs w:val="24"/>
          <w:lang w:val="ms-MY"/>
        </w:rPr>
        <w:t>Muslim Converts in Malaysia: The Problem of Cultural Adjustment</w:t>
      </w:r>
      <w:r w:rsidRPr="00307D30">
        <w:rPr>
          <w:rFonts w:ascii="Times New Roman" w:eastAsia="Calibri" w:hAnsi="Times New Roman" w:cs="Times New Roman"/>
          <w:sz w:val="24"/>
          <w:szCs w:val="24"/>
          <w:lang w:val="ms-MY"/>
        </w:rPr>
        <w:t>. Kuala Lumpur: Research Centre International Islamic University.</w:t>
      </w:r>
    </w:p>
    <w:p w14:paraId="28B469BB"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 xml:space="preserve">Osman Abdullah @ Chuah Hock Leng. (2005). </w:t>
      </w:r>
      <w:r w:rsidRPr="00307D30">
        <w:rPr>
          <w:rFonts w:ascii="Times New Roman" w:eastAsia="Calibri" w:hAnsi="Times New Roman" w:cs="Times New Roman"/>
          <w:i/>
          <w:sz w:val="24"/>
          <w:szCs w:val="24"/>
          <w:lang w:val="ms-MY"/>
        </w:rPr>
        <w:t>Preaching to The Non-Muslim Chinese in Malaysia</w:t>
      </w:r>
      <w:r w:rsidRPr="00307D30">
        <w:rPr>
          <w:rFonts w:ascii="Times New Roman" w:eastAsia="Calibri" w:hAnsi="Times New Roman" w:cs="Times New Roman"/>
          <w:sz w:val="24"/>
          <w:szCs w:val="24"/>
          <w:lang w:val="ms-MY"/>
        </w:rPr>
        <w:t>. Gombak: Research Centre IIUM.</w:t>
      </w:r>
    </w:p>
    <w:p w14:paraId="2C48F723"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 xml:space="preserve">Osman bin Abdullah @ Chuah Hock Leng. (1997). </w:t>
      </w:r>
      <w:r w:rsidRPr="00307D30">
        <w:rPr>
          <w:rFonts w:ascii="Times New Roman" w:eastAsia="Calibri" w:hAnsi="Times New Roman" w:cs="Times New Roman"/>
          <w:i/>
          <w:sz w:val="24"/>
          <w:szCs w:val="24"/>
          <w:lang w:val="ms-MY"/>
        </w:rPr>
        <w:t>Interaction and integration of Chinese Muslims with their Malay counterparts in Selangor</w:t>
      </w:r>
      <w:r w:rsidRPr="00307D30">
        <w:rPr>
          <w:rFonts w:ascii="Times New Roman" w:eastAsia="Calibri" w:hAnsi="Times New Roman" w:cs="Times New Roman"/>
          <w:sz w:val="24"/>
          <w:szCs w:val="24"/>
          <w:lang w:val="ms-MY"/>
        </w:rPr>
        <w:t>. Tesis Ph.D, Universiti Malaya.</w:t>
      </w:r>
    </w:p>
    <w:p w14:paraId="063DC925"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 xml:space="preserve">Payne, P. R. (2006). </w:t>
      </w:r>
      <w:r w:rsidRPr="00307D30">
        <w:rPr>
          <w:rFonts w:ascii="Times New Roman" w:eastAsia="Calibri" w:hAnsi="Times New Roman" w:cs="Times New Roman"/>
          <w:i/>
          <w:sz w:val="24"/>
          <w:szCs w:val="24"/>
          <w:lang w:val="ms-MY"/>
        </w:rPr>
        <w:t>Youth Violence Prevention Through Asset-Based Community Development</w:t>
      </w:r>
      <w:r w:rsidRPr="00307D30">
        <w:rPr>
          <w:rFonts w:ascii="Times New Roman" w:eastAsia="Calibri" w:hAnsi="Times New Roman" w:cs="Times New Roman"/>
          <w:sz w:val="24"/>
          <w:szCs w:val="24"/>
          <w:lang w:val="ms-MY"/>
        </w:rPr>
        <w:t>. New York: LFB Scholarly Publising LLC.</w:t>
      </w:r>
    </w:p>
    <w:p w14:paraId="0B5A323D"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lastRenderedPageBreak/>
        <w:t xml:space="preserve">Perkins, D. D., Hughey, J., &amp; Speer, P. W. (2002). </w:t>
      </w:r>
      <w:r w:rsidRPr="00307D30">
        <w:rPr>
          <w:rFonts w:ascii="Times New Roman" w:eastAsia="Calibri" w:hAnsi="Times New Roman" w:cs="Times New Roman"/>
          <w:i/>
          <w:sz w:val="24"/>
          <w:szCs w:val="24"/>
          <w:lang w:val="ms-MY"/>
        </w:rPr>
        <w:t>Community Psychology Perspectives on Social Capital Theory and Community Development Practice</w:t>
      </w:r>
      <w:r w:rsidRPr="00307D30">
        <w:rPr>
          <w:rFonts w:ascii="Times New Roman" w:eastAsia="Calibri" w:hAnsi="Times New Roman" w:cs="Times New Roman"/>
          <w:sz w:val="24"/>
          <w:szCs w:val="24"/>
          <w:lang w:val="ms-MY"/>
        </w:rPr>
        <w:t>. Community Development. 33(1), 33–52.</w:t>
      </w:r>
    </w:p>
    <w:p w14:paraId="1E45FE91"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 xml:space="preserve">Putnam, R. D. (2000). </w:t>
      </w:r>
      <w:r w:rsidRPr="00307D30">
        <w:rPr>
          <w:rFonts w:ascii="Times New Roman" w:eastAsia="Calibri" w:hAnsi="Times New Roman" w:cs="Times New Roman"/>
          <w:i/>
          <w:sz w:val="24"/>
          <w:szCs w:val="24"/>
          <w:lang w:val="ms-MY"/>
        </w:rPr>
        <w:t>Bowling Alone: The Collapse and Revival of American Community</w:t>
      </w:r>
      <w:r w:rsidRPr="00307D30">
        <w:rPr>
          <w:rFonts w:ascii="Times New Roman" w:eastAsia="Calibri" w:hAnsi="Times New Roman" w:cs="Times New Roman"/>
          <w:sz w:val="24"/>
          <w:szCs w:val="24"/>
          <w:lang w:val="ms-MY"/>
        </w:rPr>
        <w:t>. New York: Simon &amp; Schuster.</w:t>
      </w:r>
    </w:p>
    <w:p w14:paraId="7E43C130"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 xml:space="preserve">Schmid, A. A. (2000). </w:t>
      </w:r>
      <w:r w:rsidRPr="00307D30">
        <w:rPr>
          <w:rFonts w:ascii="Times New Roman" w:eastAsia="Calibri" w:hAnsi="Times New Roman" w:cs="Times New Roman"/>
          <w:i/>
          <w:sz w:val="24"/>
          <w:szCs w:val="24"/>
          <w:lang w:val="ms-MY"/>
        </w:rPr>
        <w:t>Affinity as Social Capital</w:t>
      </w:r>
      <w:r w:rsidRPr="00307D30">
        <w:rPr>
          <w:rFonts w:ascii="Times New Roman" w:eastAsia="Calibri" w:hAnsi="Times New Roman" w:cs="Times New Roman"/>
          <w:sz w:val="24"/>
          <w:szCs w:val="24"/>
          <w:lang w:val="ms-MY"/>
        </w:rPr>
        <w:t>. Journal of Socio-Economics 29: 159-171.</w:t>
      </w:r>
    </w:p>
    <w:p w14:paraId="08573757"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 xml:space="preserve">Suraya Sintang , Khadijah Mohd Khambali @ Hambali , Azizan Baharuddin ,Nurhanisah Senin , Suhaida Shaharud-din , Wan Ariffin Wan Yon , Baharuddin Malek , Mahmud Ahmad &amp; Mohd Roslan Mohd Nor. (2013). </w:t>
      </w:r>
      <w:r w:rsidRPr="00307D30">
        <w:rPr>
          <w:rFonts w:ascii="Times New Roman" w:eastAsia="Calibri" w:hAnsi="Times New Roman" w:cs="Times New Roman"/>
          <w:i/>
          <w:sz w:val="24"/>
          <w:szCs w:val="24"/>
          <w:lang w:val="ms-MY"/>
        </w:rPr>
        <w:t>The Dialogue of Ḥikma: Generating Harmony in Muslim–Non-Muslim Relations</w:t>
      </w:r>
      <w:r w:rsidRPr="00307D30">
        <w:rPr>
          <w:rFonts w:ascii="Times New Roman" w:eastAsia="Calibri" w:hAnsi="Times New Roman" w:cs="Times New Roman"/>
          <w:sz w:val="24"/>
          <w:szCs w:val="24"/>
          <w:lang w:val="ms-MY"/>
        </w:rPr>
        <w:t>. Islam and Christian–Muslim Relations, 24:2, 213-224, DOI:10.1080/09596410.2013.772328.</w:t>
      </w:r>
    </w:p>
    <w:p w14:paraId="14F2C379"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 xml:space="preserve">Szreter, S., &amp; Woolcock, M. (2004). </w:t>
      </w:r>
      <w:r w:rsidRPr="00307D30">
        <w:rPr>
          <w:rFonts w:ascii="Times New Roman" w:eastAsia="Calibri" w:hAnsi="Times New Roman" w:cs="Times New Roman"/>
          <w:i/>
          <w:sz w:val="24"/>
          <w:szCs w:val="24"/>
          <w:lang w:val="ms-MY"/>
        </w:rPr>
        <w:t>Health by Association? Social Capital, Social Theory, And The Political Economy Of Public Health</w:t>
      </w:r>
      <w:r w:rsidRPr="00307D30">
        <w:rPr>
          <w:rFonts w:ascii="Times New Roman" w:eastAsia="Calibri" w:hAnsi="Times New Roman" w:cs="Times New Roman"/>
          <w:sz w:val="24"/>
          <w:szCs w:val="24"/>
          <w:lang w:val="ms-MY"/>
        </w:rPr>
        <w:t>. International Journal of Epidemiology, 33, 650e667.</w:t>
      </w:r>
    </w:p>
    <w:p w14:paraId="4041BBA5"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 xml:space="preserve">Vyncke, V., Peersman, W., Maeseneer., J.D. Willems, S. (2012). </w:t>
      </w:r>
      <w:r w:rsidRPr="00307D30">
        <w:rPr>
          <w:rFonts w:ascii="Times New Roman" w:eastAsia="Calibri" w:hAnsi="Times New Roman" w:cs="Times New Roman"/>
          <w:i/>
          <w:sz w:val="24"/>
          <w:szCs w:val="24"/>
          <w:lang w:val="ms-MY"/>
        </w:rPr>
        <w:t>Measuring the Immeasurable? Operationilising Social Capital in Health Research</w:t>
      </w:r>
      <w:r w:rsidRPr="00307D30">
        <w:rPr>
          <w:rFonts w:ascii="Times New Roman" w:eastAsia="Calibri" w:hAnsi="Times New Roman" w:cs="Times New Roman"/>
          <w:sz w:val="24"/>
          <w:szCs w:val="24"/>
          <w:lang w:val="ms-MY"/>
        </w:rPr>
        <w:t>. Health, 4 (9), 555-556.</w:t>
      </w:r>
    </w:p>
    <w:p w14:paraId="34C875BE"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 xml:space="preserve">W. A Amir Zal. (2016). </w:t>
      </w:r>
      <w:r w:rsidRPr="00307D30">
        <w:rPr>
          <w:rFonts w:ascii="Times New Roman" w:eastAsia="Calibri" w:hAnsi="Times New Roman" w:cs="Times New Roman"/>
          <w:i/>
          <w:sz w:val="24"/>
          <w:szCs w:val="24"/>
          <w:lang w:val="ms-MY"/>
        </w:rPr>
        <w:t>Barah Sosial dalam Komuniti</w:t>
      </w:r>
      <w:r w:rsidRPr="00307D30">
        <w:rPr>
          <w:rFonts w:ascii="Times New Roman" w:eastAsia="Calibri" w:hAnsi="Times New Roman" w:cs="Times New Roman"/>
          <w:sz w:val="24"/>
          <w:szCs w:val="24"/>
          <w:lang w:val="ms-MY"/>
        </w:rPr>
        <w:t>.</w:t>
      </w:r>
      <w:r w:rsidRPr="00307D30">
        <w:rPr>
          <w:rFonts w:ascii="Calibri" w:eastAsia="Calibri" w:hAnsi="Calibri" w:cs="Times New Roman"/>
          <w:lang w:val="ms-MY"/>
        </w:rPr>
        <w:t xml:space="preserve"> </w:t>
      </w:r>
      <w:r w:rsidRPr="00307D30">
        <w:rPr>
          <w:rFonts w:ascii="Times New Roman" w:eastAsia="Calibri" w:hAnsi="Times New Roman" w:cs="Times New Roman"/>
          <w:sz w:val="24"/>
          <w:szCs w:val="24"/>
          <w:lang w:val="ms-MY"/>
        </w:rPr>
        <w:t xml:space="preserve">Kuala Terengganu: Penerbit Uniersiti Malaysia Terengganu. </w:t>
      </w:r>
    </w:p>
    <w:p w14:paraId="0959DAD6"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 xml:space="preserve">W.A Amir Zal. (2014). </w:t>
      </w:r>
      <w:r w:rsidRPr="00307D30">
        <w:rPr>
          <w:rFonts w:ascii="Times New Roman" w:eastAsia="Calibri" w:hAnsi="Times New Roman" w:cs="Times New Roman"/>
          <w:i/>
          <w:sz w:val="24"/>
          <w:szCs w:val="24"/>
          <w:lang w:val="ms-MY"/>
        </w:rPr>
        <w:t>Pembangunan Kapasiti Nelayan Kuala Terengganu Utara Berasaskan Modal Sosial dan Ekonomi</w:t>
      </w:r>
      <w:r w:rsidRPr="00307D30">
        <w:rPr>
          <w:rFonts w:ascii="Times New Roman" w:eastAsia="Calibri" w:hAnsi="Times New Roman" w:cs="Times New Roman"/>
          <w:sz w:val="24"/>
          <w:szCs w:val="24"/>
          <w:lang w:val="ms-MY"/>
        </w:rPr>
        <w:t>. Kuala Terengganu: Universiti Malaysia Terengganu.</w:t>
      </w:r>
    </w:p>
    <w:p w14:paraId="572CEAEE"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 xml:space="preserve">Wan Kamal Mujani, Abdul Qayyum Abdul Razak, Allawati Kasri, Mohd Irman Mohd Abd Nasir dan Noor Inayah Ya’akub. (2012). </w:t>
      </w:r>
      <w:r w:rsidRPr="00307D30">
        <w:rPr>
          <w:rFonts w:ascii="Times New Roman" w:eastAsia="Calibri" w:hAnsi="Times New Roman" w:cs="Times New Roman"/>
          <w:i/>
          <w:sz w:val="24"/>
          <w:szCs w:val="24"/>
          <w:lang w:val="ms-MY"/>
        </w:rPr>
        <w:t>The Chinese Muslim Community: Their Economic, Political and Social Involvement in Malaysia</w:t>
      </w:r>
      <w:r w:rsidRPr="00307D30">
        <w:rPr>
          <w:rFonts w:ascii="Times New Roman" w:eastAsia="Calibri" w:hAnsi="Times New Roman" w:cs="Times New Roman"/>
          <w:sz w:val="24"/>
          <w:szCs w:val="24"/>
          <w:lang w:val="ms-MY"/>
        </w:rPr>
        <w:t>. Advances in Natural and Applied Sciences, 6(3): 417-422.</w:t>
      </w:r>
    </w:p>
    <w:p w14:paraId="713D8639" w14:textId="77777777" w:rsidR="00307D30" w:rsidRPr="00307D30" w:rsidRDefault="00307D30" w:rsidP="00307D30">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ms-MY"/>
        </w:rPr>
      </w:pPr>
      <w:r w:rsidRPr="00307D30">
        <w:rPr>
          <w:rFonts w:ascii="Times New Roman" w:eastAsia="Times New Roman" w:hAnsi="Times New Roman" w:cs="Times New Roman"/>
          <w:sz w:val="24"/>
          <w:szCs w:val="24"/>
          <w:lang w:val="ms-MY"/>
        </w:rPr>
        <w:t>Williams, D., (2006). On and off the net: scales for social capital in an online era. J. Comput.-Mediated Commun. 11, 593–628.</w:t>
      </w:r>
    </w:p>
    <w:p w14:paraId="605329C6" w14:textId="77777777" w:rsidR="00307D30"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pPr>
      <w:r w:rsidRPr="00307D30">
        <w:rPr>
          <w:rFonts w:ascii="Times New Roman" w:eastAsia="Calibri" w:hAnsi="Times New Roman" w:cs="Times New Roman"/>
          <w:sz w:val="24"/>
          <w:szCs w:val="24"/>
          <w:lang w:val="ms-MY"/>
        </w:rPr>
        <w:t xml:space="preserve">Woolcock, M. (2002). </w:t>
      </w:r>
      <w:r w:rsidRPr="00307D30">
        <w:rPr>
          <w:rFonts w:ascii="Times New Roman" w:eastAsia="Calibri" w:hAnsi="Times New Roman" w:cs="Times New Roman"/>
          <w:i/>
          <w:sz w:val="24"/>
          <w:szCs w:val="24"/>
          <w:lang w:val="ms-MY"/>
        </w:rPr>
        <w:t>Social Capital in Theory and Practice: Where do We Stand</w:t>
      </w:r>
      <w:r w:rsidRPr="00307D30">
        <w:rPr>
          <w:rFonts w:ascii="Times New Roman" w:eastAsia="Calibri" w:hAnsi="Times New Roman" w:cs="Times New Roman"/>
          <w:sz w:val="24"/>
          <w:szCs w:val="24"/>
          <w:lang w:val="ms-MY"/>
        </w:rPr>
        <w:t xml:space="preserve"> </w:t>
      </w:r>
      <w:r w:rsidRPr="00307D30">
        <w:rPr>
          <w:rFonts w:ascii="Times New Roman" w:eastAsia="Calibri" w:hAnsi="Times New Roman" w:cs="Times New Roman"/>
          <w:i/>
          <w:sz w:val="24"/>
          <w:szCs w:val="24"/>
          <w:lang w:val="ms-MY"/>
        </w:rPr>
        <w:t>?</w:t>
      </w:r>
      <w:r w:rsidRPr="00307D30">
        <w:rPr>
          <w:rFonts w:ascii="Times New Roman" w:eastAsia="Calibri" w:hAnsi="Times New Roman" w:cs="Times New Roman"/>
          <w:sz w:val="24"/>
          <w:szCs w:val="24"/>
          <w:lang w:val="ms-MY"/>
        </w:rPr>
        <w:t xml:space="preserve"> in Isham, J.,T. &amp; Ramaswamy, S. United Kigdom: Edward Elgar Publisihing Limited.</w:t>
      </w:r>
    </w:p>
    <w:p w14:paraId="1F8A34DA" w14:textId="72D89233" w:rsidR="007913AC" w:rsidRPr="00307D30" w:rsidRDefault="00307D30" w:rsidP="00307D30">
      <w:pPr>
        <w:autoSpaceDE w:val="0"/>
        <w:autoSpaceDN w:val="0"/>
        <w:adjustRightInd w:val="0"/>
        <w:spacing w:after="0" w:line="240" w:lineRule="auto"/>
        <w:ind w:left="720" w:hanging="720"/>
        <w:jc w:val="both"/>
        <w:rPr>
          <w:rFonts w:ascii="Times New Roman" w:eastAsia="Calibri" w:hAnsi="Times New Roman" w:cs="Times New Roman"/>
          <w:sz w:val="24"/>
          <w:szCs w:val="24"/>
          <w:lang w:val="ms-MY"/>
        </w:rPr>
        <w:sectPr w:rsidR="007913AC" w:rsidRPr="00307D30" w:rsidSect="000366E4">
          <w:headerReference w:type="default" r:id="rId10"/>
          <w:footerReference w:type="default" r:id="rId11"/>
          <w:pgSz w:w="11907" w:h="16840" w:code="9"/>
          <w:pgMar w:top="1440" w:right="1440" w:bottom="1440" w:left="1440" w:header="720" w:footer="720" w:gutter="0"/>
          <w:cols w:space="720"/>
          <w:docGrid w:linePitch="360"/>
        </w:sectPr>
      </w:pPr>
      <w:r w:rsidRPr="00307D30">
        <w:rPr>
          <w:rFonts w:ascii="Times New Roman" w:eastAsia="Calibri" w:hAnsi="Times New Roman" w:cs="Times New Roman"/>
          <w:sz w:val="24"/>
          <w:szCs w:val="24"/>
          <w:lang w:val="ms-MY"/>
        </w:rPr>
        <w:t xml:space="preserve">Zainab Ismail &amp; Wan Ibrahim Wan Ahmad. (2009). </w:t>
      </w:r>
      <w:r w:rsidRPr="00307D30">
        <w:rPr>
          <w:rFonts w:ascii="Times New Roman" w:eastAsia="Calibri" w:hAnsi="Times New Roman" w:cs="Times New Roman"/>
          <w:i/>
          <w:sz w:val="24"/>
          <w:szCs w:val="24"/>
          <w:lang w:val="ms-MY"/>
        </w:rPr>
        <w:t>Populasi Cina di Malaysia: Kepelbagaian Agama dan Penerimaan ke atas Cina Muslim</w:t>
      </w:r>
      <w:r w:rsidRPr="00307D30">
        <w:rPr>
          <w:rFonts w:ascii="Times New Roman" w:eastAsia="Calibri" w:hAnsi="Times New Roman" w:cs="Times New Roman"/>
          <w:sz w:val="24"/>
          <w:szCs w:val="24"/>
          <w:lang w:val="ms-MY"/>
        </w:rPr>
        <w:t>. The Journal of Al-Hikma</w:t>
      </w:r>
      <w:r>
        <w:rPr>
          <w:rFonts w:ascii="Times New Roman" w:eastAsia="Calibri" w:hAnsi="Times New Roman" w:cs="Times New Roman"/>
          <w:sz w:val="24"/>
          <w:szCs w:val="24"/>
          <w:lang w:val="ms-MY"/>
        </w:rPr>
        <w:t>h.</w:t>
      </w:r>
    </w:p>
    <w:p w14:paraId="287EE7E7" w14:textId="2A20AA0D" w:rsidR="00083B6E" w:rsidRPr="00B53C29" w:rsidRDefault="00083B6E" w:rsidP="007913AC">
      <w:pPr>
        <w:spacing w:after="0" w:line="240" w:lineRule="auto"/>
        <w:jc w:val="both"/>
        <w:rPr>
          <w:rFonts w:asciiTheme="majorBidi" w:eastAsia="Times New Roman" w:hAnsiTheme="majorBidi" w:cs="Times New Roman"/>
          <w:sz w:val="24"/>
          <w:szCs w:val="24"/>
          <w:lang w:val="ms-MY"/>
        </w:rPr>
      </w:pPr>
    </w:p>
    <w:sectPr w:rsidR="00083B6E" w:rsidRPr="00B53C29" w:rsidSect="00F118E0">
      <w:headerReference w:type="default" r:id="rId12"/>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FEBFD" w14:textId="77777777" w:rsidR="00DB152B" w:rsidRDefault="00DB152B">
      <w:pPr>
        <w:spacing w:after="0" w:line="240" w:lineRule="auto"/>
      </w:pPr>
      <w:r>
        <w:separator/>
      </w:r>
    </w:p>
  </w:endnote>
  <w:endnote w:type="continuationSeparator" w:id="0">
    <w:p w14:paraId="2F3A9000" w14:textId="77777777" w:rsidR="00DB152B" w:rsidRDefault="00DB1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rPr>
      <w:id w:val="2078625405"/>
      <w:docPartObj>
        <w:docPartGallery w:val="Page Numbers (Bottom of Page)"/>
        <w:docPartUnique/>
      </w:docPartObj>
    </w:sdtPr>
    <w:sdtEndPr>
      <w:rPr>
        <w:sz w:val="24"/>
      </w:rPr>
    </w:sdtEndPr>
    <w:sdtContent>
      <w:p w14:paraId="29709460" w14:textId="214BFC36" w:rsidR="00F73EA2" w:rsidRPr="00DC1439" w:rsidRDefault="00F73EA2">
        <w:pPr>
          <w:pStyle w:val="Footer"/>
          <w:jc w:val="center"/>
          <w:rPr>
            <w:rFonts w:asciiTheme="majorBidi" w:hAnsiTheme="majorBidi" w:cstheme="majorBidi"/>
            <w:sz w:val="24"/>
          </w:rPr>
        </w:pPr>
        <w:r w:rsidRPr="00DC1439">
          <w:rPr>
            <w:rFonts w:asciiTheme="majorBidi" w:hAnsiTheme="majorBidi" w:cstheme="majorBidi"/>
            <w:sz w:val="24"/>
          </w:rPr>
          <w:fldChar w:fldCharType="begin"/>
        </w:r>
        <w:r w:rsidRPr="00DC1439">
          <w:rPr>
            <w:rFonts w:asciiTheme="majorBidi" w:hAnsiTheme="majorBidi" w:cstheme="majorBidi"/>
            <w:sz w:val="24"/>
          </w:rPr>
          <w:instrText xml:space="preserve"> PAGE   \* MERGEFORMAT </w:instrText>
        </w:r>
        <w:r w:rsidRPr="00DC1439">
          <w:rPr>
            <w:rFonts w:asciiTheme="majorBidi" w:hAnsiTheme="majorBidi" w:cstheme="majorBidi"/>
            <w:sz w:val="24"/>
          </w:rPr>
          <w:fldChar w:fldCharType="separate"/>
        </w:r>
        <w:r w:rsidR="00A8688B">
          <w:rPr>
            <w:rFonts w:asciiTheme="majorBidi" w:hAnsiTheme="majorBidi" w:cstheme="majorBidi"/>
            <w:noProof/>
            <w:sz w:val="24"/>
          </w:rPr>
          <w:t>1</w:t>
        </w:r>
        <w:r w:rsidRPr="00DC1439">
          <w:rPr>
            <w:rFonts w:asciiTheme="majorBidi" w:hAnsiTheme="majorBidi" w:cstheme="majorBidi"/>
            <w:noProof/>
            <w:sz w:val="24"/>
          </w:rPr>
          <w:fldChar w:fldCharType="end"/>
        </w:r>
      </w:p>
    </w:sdtContent>
  </w:sdt>
  <w:p w14:paraId="5EF8EC7B" w14:textId="77777777" w:rsidR="00F73EA2" w:rsidRPr="00DC1439" w:rsidRDefault="00F73EA2">
    <w:pPr>
      <w:pStyle w:val="Footer"/>
      <w:rPr>
        <w:rFonts w:asciiTheme="majorBidi" w:hAnsiTheme="majorBid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ECA3E" w14:textId="77777777" w:rsidR="00DB152B" w:rsidRDefault="00DB152B">
      <w:pPr>
        <w:spacing w:after="0" w:line="240" w:lineRule="auto"/>
      </w:pPr>
      <w:r>
        <w:separator/>
      </w:r>
    </w:p>
  </w:footnote>
  <w:footnote w:type="continuationSeparator" w:id="0">
    <w:p w14:paraId="38CE6B60" w14:textId="77777777" w:rsidR="00DB152B" w:rsidRDefault="00DB1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77EBF" w14:textId="3C516484" w:rsidR="00F73EA2" w:rsidRDefault="00F73EA2" w:rsidP="00B96EC9">
    <w:pPr>
      <w:pStyle w:val="Header"/>
    </w:pPr>
    <w:r w:rsidRPr="00CA75E1">
      <w:rPr>
        <w:i/>
      </w:rPr>
      <w:t>Journal of Nusantara Studies</w:t>
    </w:r>
    <w:r>
      <w:rPr>
        <w:i/>
      </w:rPr>
      <w:t xml:space="preserve"> 201x</w:t>
    </w:r>
    <w:r w:rsidRPr="00A90124">
      <w:rPr>
        <w:i/>
      </w:rPr>
      <w:t>, Vol</w:t>
    </w:r>
    <w:r w:rsidRPr="00083B6E">
      <w:rPr>
        <w:i/>
      </w:rPr>
      <w:t xml:space="preserve"> </w:t>
    </w:r>
    <w:r>
      <w:rPr>
        <w:i/>
      </w:rPr>
      <w:t>x(x)</w:t>
    </w:r>
    <w:r w:rsidRPr="00083B6E">
      <w:rPr>
        <w:i/>
      </w:rPr>
      <w:t xml:space="preserve"> </w:t>
    </w:r>
    <w:r>
      <w:rPr>
        <w:i/>
      </w:rPr>
      <w:t>xx-xx</w:t>
    </w:r>
  </w:p>
  <w:p w14:paraId="0348254C" w14:textId="7578E4F6" w:rsidR="00F73EA2" w:rsidRDefault="00F73EA2" w:rsidP="001134A9">
    <w:pPr>
      <w:pStyle w:val="Header"/>
    </w:pPr>
    <w:r>
      <w:t>Universiti Sultan Zainal Abidin</w:t>
    </w:r>
  </w:p>
  <w:p w14:paraId="163326F0" w14:textId="3783785F" w:rsidR="00F73EA2" w:rsidRDefault="00F73EA2" w:rsidP="00082F01">
    <w:pPr>
      <w:pStyle w:val="Header"/>
    </w:pPr>
    <w:r>
      <w:t>ISSN 0127-9386 (Online)</w:t>
    </w:r>
  </w:p>
  <w:p w14:paraId="21CA5EEB" w14:textId="77777777" w:rsidR="00F73EA2" w:rsidRDefault="00F73EA2">
    <w:pPr>
      <w:pStyle w:val="Header"/>
    </w:pPr>
  </w:p>
  <w:tbl>
    <w:tblPr>
      <w:tblStyle w:val="TableGrid"/>
      <w:tblW w:w="0" w:type="auto"/>
      <w:tblLook w:val="04A0" w:firstRow="1" w:lastRow="0" w:firstColumn="1" w:lastColumn="0" w:noHBand="0" w:noVBand="1"/>
    </w:tblPr>
    <w:tblGrid>
      <w:gridCol w:w="4620"/>
      <w:gridCol w:w="4402"/>
    </w:tblGrid>
    <w:tr w:rsidR="00F73EA2" w14:paraId="06862C9E" w14:textId="77777777" w:rsidTr="008022E6">
      <w:tc>
        <w:tcPr>
          <w:tcW w:w="4788" w:type="dxa"/>
          <w:tcBorders>
            <w:top w:val="nil"/>
            <w:left w:val="nil"/>
            <w:bottom w:val="nil"/>
            <w:right w:val="single" w:sz="4" w:space="0" w:color="C00000"/>
          </w:tcBorders>
          <w:vAlign w:val="center"/>
        </w:tcPr>
        <w:p w14:paraId="7A9452E9" w14:textId="6D6EB7ED" w:rsidR="00F73EA2" w:rsidRDefault="00F73EA2" w:rsidP="00212B38">
          <w:pPr>
            <w:pStyle w:val="Header"/>
            <w:jc w:val="center"/>
          </w:pPr>
          <w:r w:rsidRPr="0066163E">
            <w:rPr>
              <w:noProof/>
              <w:lang w:val="en-GB" w:eastAsia="en-GB"/>
            </w:rPr>
            <w:drawing>
              <wp:inline distT="0" distB="0" distL="0" distR="0" wp14:anchorId="4B92F855" wp14:editId="5A84D63A">
                <wp:extent cx="2209800" cy="831312"/>
                <wp:effectExtent l="0" t="0" r="0"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lef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3388" cy="843947"/>
                        </a:xfrm>
                        <a:prstGeom prst="rect">
                          <a:avLst/>
                        </a:prstGeom>
                      </pic:spPr>
                    </pic:pic>
                  </a:graphicData>
                </a:graphic>
              </wp:inline>
            </w:drawing>
          </w:r>
        </w:p>
      </w:tc>
      <w:tc>
        <w:tcPr>
          <w:tcW w:w="478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273DBCF1" w14:textId="4A2BAF72" w:rsidR="00F73EA2" w:rsidRPr="000A254B" w:rsidRDefault="00F73EA2" w:rsidP="00024151">
          <w:pPr>
            <w:pStyle w:val="Header"/>
            <w:jc w:val="center"/>
            <w:rPr>
              <w:b/>
              <w:bCs/>
              <w:sz w:val="42"/>
            </w:rPr>
          </w:pPr>
          <w:r w:rsidRPr="00024151">
            <w:rPr>
              <w:b/>
              <w:bCs/>
              <w:sz w:val="48"/>
            </w:rPr>
            <w:t>Journal of Nusantara Studies (JONUS)</w:t>
          </w:r>
        </w:p>
      </w:tc>
    </w:tr>
  </w:tbl>
  <w:p w14:paraId="5F30AF11" w14:textId="77777777" w:rsidR="00F73EA2" w:rsidRDefault="00F73EA2">
    <w:pPr>
      <w:pStyle w:val="Header"/>
    </w:pPr>
  </w:p>
  <w:p w14:paraId="0E18EA2C" w14:textId="6F0F76F2" w:rsidR="00F73EA2" w:rsidRDefault="00F73E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706"/>
    </w:tblGrid>
    <w:tr w:rsidR="00F73EA2" w:rsidRPr="000F48DE" w14:paraId="084112AC" w14:textId="77777777" w:rsidTr="0010777E">
      <w:tc>
        <w:tcPr>
          <w:tcW w:w="4508" w:type="dxa"/>
        </w:tcPr>
        <w:p w14:paraId="09B1426F" w14:textId="37DC99C9" w:rsidR="00F73EA2" w:rsidRPr="000F48DE" w:rsidRDefault="00F73EA2" w:rsidP="00A10FBB">
          <w:pPr>
            <w:pStyle w:val="Header"/>
            <w:rPr>
              <w:sz w:val="20"/>
              <w:szCs w:val="20"/>
            </w:rPr>
          </w:pPr>
          <w:r w:rsidRPr="000F48DE">
            <w:rPr>
              <w:i/>
              <w:sz w:val="20"/>
              <w:szCs w:val="20"/>
            </w:rPr>
            <w:t xml:space="preserve">Journal </w:t>
          </w:r>
          <w:r>
            <w:rPr>
              <w:i/>
              <w:sz w:val="20"/>
              <w:szCs w:val="20"/>
            </w:rPr>
            <w:t>of Nusantara Studies 201x, Vol x</w:t>
          </w:r>
          <w:r w:rsidRPr="000F48DE">
            <w:rPr>
              <w:i/>
              <w:sz w:val="20"/>
              <w:szCs w:val="20"/>
            </w:rPr>
            <w:t>(</w:t>
          </w:r>
          <w:r>
            <w:rPr>
              <w:i/>
              <w:sz w:val="20"/>
              <w:szCs w:val="20"/>
            </w:rPr>
            <w:t>x</w:t>
          </w:r>
          <w:r w:rsidRPr="000F48DE">
            <w:rPr>
              <w:i/>
              <w:sz w:val="20"/>
              <w:szCs w:val="20"/>
            </w:rPr>
            <w:t xml:space="preserve">) </w:t>
          </w:r>
          <w:r>
            <w:rPr>
              <w:i/>
              <w:sz w:val="20"/>
              <w:szCs w:val="20"/>
            </w:rPr>
            <w:t>xx-xx</w:t>
          </w:r>
        </w:p>
      </w:tc>
      <w:tc>
        <w:tcPr>
          <w:tcW w:w="4706" w:type="dxa"/>
        </w:tcPr>
        <w:p w14:paraId="704E55DE" w14:textId="7C05C651" w:rsidR="00F73EA2" w:rsidRPr="000F48DE" w:rsidRDefault="00F73EA2" w:rsidP="00C50F81">
          <w:pPr>
            <w:pStyle w:val="Header"/>
            <w:ind w:left="487"/>
            <w:jc w:val="right"/>
            <w:rPr>
              <w:sz w:val="20"/>
              <w:szCs w:val="20"/>
            </w:rPr>
          </w:pPr>
          <w:r w:rsidRPr="000F48DE">
            <w:rPr>
              <w:sz w:val="20"/>
              <w:szCs w:val="20"/>
            </w:rPr>
            <w:t>ISSN 0127-9386 (Online)</w:t>
          </w:r>
        </w:p>
      </w:tc>
    </w:tr>
  </w:tbl>
  <w:p w14:paraId="5C099647" w14:textId="4C7A44E1" w:rsidR="00F73EA2" w:rsidRPr="00082F01" w:rsidRDefault="00F73EA2" w:rsidP="00082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11422"/>
    <w:multiLevelType w:val="multilevel"/>
    <w:tmpl w:val="11506F50"/>
    <w:lvl w:ilvl="0">
      <w:start w:val="5"/>
      <w:numFmt w:val="decimal"/>
      <w:lvlText w:val="%1.0"/>
      <w:lvlJc w:val="left"/>
      <w:pPr>
        <w:ind w:left="360" w:hanging="360"/>
      </w:pPr>
      <w:rPr>
        <w:rFonts w:eastAsia="Times New Roman" w:cs="Times New Roman" w:hint="default"/>
        <w:b/>
      </w:rPr>
    </w:lvl>
    <w:lvl w:ilvl="1">
      <w:start w:val="1"/>
      <w:numFmt w:val="decimal"/>
      <w:lvlText w:val="%1.%2"/>
      <w:lvlJc w:val="left"/>
      <w:pPr>
        <w:ind w:left="1080" w:hanging="360"/>
      </w:pPr>
      <w:rPr>
        <w:rFonts w:eastAsia="Times New Roman" w:cs="Times New Roman" w:hint="default"/>
        <w:b w:val="0"/>
      </w:rPr>
    </w:lvl>
    <w:lvl w:ilvl="2">
      <w:start w:val="1"/>
      <w:numFmt w:val="decimal"/>
      <w:lvlText w:val="%1.%2.%3"/>
      <w:lvlJc w:val="left"/>
      <w:pPr>
        <w:ind w:left="2160" w:hanging="720"/>
      </w:pPr>
      <w:rPr>
        <w:rFonts w:eastAsia="Times New Roman" w:cs="Times New Roman" w:hint="default"/>
        <w:b w:val="0"/>
      </w:rPr>
    </w:lvl>
    <w:lvl w:ilvl="3">
      <w:start w:val="1"/>
      <w:numFmt w:val="decimal"/>
      <w:lvlText w:val="%1.%2.%3.%4"/>
      <w:lvlJc w:val="left"/>
      <w:pPr>
        <w:ind w:left="2880" w:hanging="720"/>
      </w:pPr>
      <w:rPr>
        <w:rFonts w:eastAsia="Times New Roman" w:cs="Times New Roman" w:hint="default"/>
        <w:b w:val="0"/>
      </w:rPr>
    </w:lvl>
    <w:lvl w:ilvl="4">
      <w:start w:val="1"/>
      <w:numFmt w:val="decimal"/>
      <w:lvlText w:val="%1.%2.%3.%4.%5"/>
      <w:lvlJc w:val="left"/>
      <w:pPr>
        <w:ind w:left="3960" w:hanging="1080"/>
      </w:pPr>
      <w:rPr>
        <w:rFonts w:eastAsia="Times New Roman" w:cs="Times New Roman" w:hint="default"/>
        <w:b w:val="0"/>
      </w:rPr>
    </w:lvl>
    <w:lvl w:ilvl="5">
      <w:start w:val="1"/>
      <w:numFmt w:val="decimal"/>
      <w:lvlText w:val="%1.%2.%3.%4.%5.%6"/>
      <w:lvlJc w:val="left"/>
      <w:pPr>
        <w:ind w:left="4680" w:hanging="1080"/>
      </w:pPr>
      <w:rPr>
        <w:rFonts w:eastAsia="Times New Roman" w:cs="Times New Roman" w:hint="default"/>
        <w:b w:val="0"/>
      </w:rPr>
    </w:lvl>
    <w:lvl w:ilvl="6">
      <w:start w:val="1"/>
      <w:numFmt w:val="decimal"/>
      <w:lvlText w:val="%1.%2.%3.%4.%5.%6.%7"/>
      <w:lvlJc w:val="left"/>
      <w:pPr>
        <w:ind w:left="5760" w:hanging="1440"/>
      </w:pPr>
      <w:rPr>
        <w:rFonts w:eastAsia="Times New Roman" w:cs="Times New Roman" w:hint="default"/>
        <w:b w:val="0"/>
      </w:rPr>
    </w:lvl>
    <w:lvl w:ilvl="7">
      <w:start w:val="1"/>
      <w:numFmt w:val="decimal"/>
      <w:lvlText w:val="%1.%2.%3.%4.%5.%6.%7.%8"/>
      <w:lvlJc w:val="left"/>
      <w:pPr>
        <w:ind w:left="6480" w:hanging="1440"/>
      </w:pPr>
      <w:rPr>
        <w:rFonts w:eastAsia="Times New Roman" w:cs="Times New Roman" w:hint="default"/>
        <w:b w:val="0"/>
      </w:rPr>
    </w:lvl>
    <w:lvl w:ilvl="8">
      <w:start w:val="1"/>
      <w:numFmt w:val="decimal"/>
      <w:lvlText w:val="%1.%2.%3.%4.%5.%6.%7.%8.%9"/>
      <w:lvlJc w:val="left"/>
      <w:pPr>
        <w:ind w:left="7560" w:hanging="1800"/>
      </w:pPr>
      <w:rPr>
        <w:rFonts w:eastAsia="Times New Roman" w:cs="Times New Roman" w:hint="default"/>
        <w:b w:val="0"/>
      </w:rPr>
    </w:lvl>
  </w:abstractNum>
  <w:abstractNum w:abstractNumId="1" w15:restartNumberingAfterBreak="0">
    <w:nsid w:val="340903E2"/>
    <w:multiLevelType w:val="multilevel"/>
    <w:tmpl w:val="3D36ACF2"/>
    <w:lvl w:ilvl="0">
      <w:start w:val="1"/>
      <w:numFmt w:val="decimal"/>
      <w:lvlText w:val="%1"/>
      <w:lvlJc w:val="left"/>
      <w:pPr>
        <w:ind w:left="993" w:hanging="540"/>
      </w:pPr>
      <w:rPr>
        <w:rFonts w:hint="default"/>
      </w:rPr>
    </w:lvl>
    <w:lvl w:ilvl="1">
      <w:start w:val="1"/>
      <w:numFmt w:val="decimal"/>
      <w:lvlText w:val="4.%2"/>
      <w:lvlJc w:val="left"/>
      <w:pPr>
        <w:ind w:left="993" w:hanging="540"/>
      </w:pPr>
      <w:rPr>
        <w:rFonts w:hint="default"/>
      </w:rPr>
    </w:lvl>
    <w:lvl w:ilvl="2">
      <w:start w:val="1"/>
      <w:numFmt w:val="decimal"/>
      <w:lvlText w:val="%1.%2.%3"/>
      <w:lvlJc w:val="left"/>
      <w:pPr>
        <w:ind w:left="1173"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533" w:hanging="1080"/>
      </w:pPr>
      <w:rPr>
        <w:rFonts w:hint="default"/>
      </w:rPr>
    </w:lvl>
    <w:lvl w:ilvl="5">
      <w:start w:val="1"/>
      <w:numFmt w:val="decimal"/>
      <w:lvlText w:val="%1.%2.%3.%4.%5.%6"/>
      <w:lvlJc w:val="left"/>
      <w:pPr>
        <w:ind w:left="1533" w:hanging="1080"/>
      </w:pPr>
      <w:rPr>
        <w:rFonts w:hint="default"/>
      </w:rPr>
    </w:lvl>
    <w:lvl w:ilvl="6">
      <w:start w:val="1"/>
      <w:numFmt w:val="decimal"/>
      <w:lvlText w:val="%1.%2.%3.%4.%5.%6.%7"/>
      <w:lvlJc w:val="left"/>
      <w:pPr>
        <w:ind w:left="1893" w:hanging="1440"/>
      </w:pPr>
      <w:rPr>
        <w:rFonts w:hint="default"/>
      </w:rPr>
    </w:lvl>
    <w:lvl w:ilvl="7">
      <w:start w:val="1"/>
      <w:numFmt w:val="decimal"/>
      <w:lvlText w:val="%1.%2.%3.%4.%5.%6.%7.%8"/>
      <w:lvlJc w:val="left"/>
      <w:pPr>
        <w:ind w:left="1893" w:hanging="1440"/>
      </w:pPr>
      <w:rPr>
        <w:rFonts w:hint="default"/>
      </w:rPr>
    </w:lvl>
    <w:lvl w:ilvl="8">
      <w:start w:val="1"/>
      <w:numFmt w:val="decimal"/>
      <w:lvlText w:val="%1.%2.%3.%4.%5.%6.%7.%8.%9"/>
      <w:lvlJc w:val="left"/>
      <w:pPr>
        <w:ind w:left="1893" w:hanging="1440"/>
      </w:pPr>
      <w:rPr>
        <w:rFonts w:hint="default"/>
      </w:rPr>
    </w:lvl>
  </w:abstractNum>
  <w:abstractNum w:abstractNumId="2" w15:restartNumberingAfterBreak="0">
    <w:nsid w:val="3E7B3A1F"/>
    <w:multiLevelType w:val="multilevel"/>
    <w:tmpl w:val="F33859D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FC07139"/>
    <w:multiLevelType w:val="multilevel"/>
    <w:tmpl w:val="F33859D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3A4401B"/>
    <w:multiLevelType w:val="multilevel"/>
    <w:tmpl w:val="A0F09882"/>
    <w:lvl w:ilvl="0">
      <w:start w:val="1"/>
      <w:numFmt w:val="decimal"/>
      <w:lvlText w:val="%1"/>
      <w:lvlJc w:val="left"/>
      <w:pPr>
        <w:ind w:left="540" w:hanging="540"/>
      </w:pPr>
      <w:rPr>
        <w:rFonts w:hint="default"/>
      </w:rPr>
    </w:lvl>
    <w:lvl w:ilvl="1">
      <w:start w:val="1"/>
      <w:numFmt w:val="decimal"/>
      <w:lvlText w:val="2.%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F7E6DE8"/>
    <w:multiLevelType w:val="multilevel"/>
    <w:tmpl w:val="3D36ACF2"/>
    <w:lvl w:ilvl="0">
      <w:start w:val="1"/>
      <w:numFmt w:val="decimal"/>
      <w:lvlText w:val="%1"/>
      <w:lvlJc w:val="left"/>
      <w:pPr>
        <w:ind w:left="540" w:hanging="540"/>
      </w:pPr>
      <w:rPr>
        <w:rFonts w:hint="default"/>
      </w:rPr>
    </w:lvl>
    <w:lvl w:ilvl="1">
      <w:start w:val="1"/>
      <w:numFmt w:val="decimal"/>
      <w:lvlText w:val="4.%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4243926"/>
    <w:multiLevelType w:val="hybridMultilevel"/>
    <w:tmpl w:val="D2582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092F17"/>
    <w:multiLevelType w:val="multilevel"/>
    <w:tmpl w:val="3D36ACF2"/>
    <w:lvl w:ilvl="0">
      <w:start w:val="1"/>
      <w:numFmt w:val="decimal"/>
      <w:lvlText w:val="%1"/>
      <w:lvlJc w:val="left"/>
      <w:pPr>
        <w:ind w:left="993" w:hanging="540"/>
      </w:pPr>
      <w:rPr>
        <w:rFonts w:hint="default"/>
      </w:rPr>
    </w:lvl>
    <w:lvl w:ilvl="1">
      <w:start w:val="1"/>
      <w:numFmt w:val="decimal"/>
      <w:lvlText w:val="4.%2"/>
      <w:lvlJc w:val="left"/>
      <w:pPr>
        <w:ind w:left="993" w:hanging="540"/>
      </w:pPr>
      <w:rPr>
        <w:rFonts w:hint="default"/>
      </w:rPr>
    </w:lvl>
    <w:lvl w:ilvl="2">
      <w:start w:val="1"/>
      <w:numFmt w:val="decimal"/>
      <w:lvlText w:val="%1.%2.%3"/>
      <w:lvlJc w:val="left"/>
      <w:pPr>
        <w:ind w:left="1173"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533" w:hanging="1080"/>
      </w:pPr>
      <w:rPr>
        <w:rFonts w:hint="default"/>
      </w:rPr>
    </w:lvl>
    <w:lvl w:ilvl="5">
      <w:start w:val="1"/>
      <w:numFmt w:val="decimal"/>
      <w:lvlText w:val="%1.%2.%3.%4.%5.%6"/>
      <w:lvlJc w:val="left"/>
      <w:pPr>
        <w:ind w:left="1533" w:hanging="1080"/>
      </w:pPr>
      <w:rPr>
        <w:rFonts w:hint="default"/>
      </w:rPr>
    </w:lvl>
    <w:lvl w:ilvl="6">
      <w:start w:val="1"/>
      <w:numFmt w:val="decimal"/>
      <w:lvlText w:val="%1.%2.%3.%4.%5.%6.%7"/>
      <w:lvlJc w:val="left"/>
      <w:pPr>
        <w:ind w:left="1893" w:hanging="1440"/>
      </w:pPr>
      <w:rPr>
        <w:rFonts w:hint="default"/>
      </w:rPr>
    </w:lvl>
    <w:lvl w:ilvl="7">
      <w:start w:val="1"/>
      <w:numFmt w:val="decimal"/>
      <w:lvlText w:val="%1.%2.%3.%4.%5.%6.%7.%8"/>
      <w:lvlJc w:val="left"/>
      <w:pPr>
        <w:ind w:left="1893" w:hanging="1440"/>
      </w:pPr>
      <w:rPr>
        <w:rFonts w:hint="default"/>
      </w:rPr>
    </w:lvl>
    <w:lvl w:ilvl="8">
      <w:start w:val="1"/>
      <w:numFmt w:val="decimal"/>
      <w:lvlText w:val="%1.%2.%3.%4.%5.%6.%7.%8.%9"/>
      <w:lvlJc w:val="left"/>
      <w:pPr>
        <w:ind w:left="1893" w:hanging="1440"/>
      </w:pPr>
      <w:rPr>
        <w:rFonts w:hint="default"/>
      </w:rPr>
    </w:lvl>
  </w:abstractNum>
  <w:abstractNum w:abstractNumId="8" w15:restartNumberingAfterBreak="0">
    <w:nsid w:val="5E070B2C"/>
    <w:multiLevelType w:val="multilevel"/>
    <w:tmpl w:val="3D36ACF2"/>
    <w:lvl w:ilvl="0">
      <w:start w:val="1"/>
      <w:numFmt w:val="decimal"/>
      <w:lvlText w:val="%1"/>
      <w:lvlJc w:val="left"/>
      <w:pPr>
        <w:ind w:left="540" w:hanging="540"/>
      </w:pPr>
      <w:rPr>
        <w:rFonts w:hint="default"/>
      </w:rPr>
    </w:lvl>
    <w:lvl w:ilvl="1">
      <w:start w:val="1"/>
      <w:numFmt w:val="decimal"/>
      <w:lvlText w:val="4.%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15847E6"/>
    <w:multiLevelType w:val="multilevel"/>
    <w:tmpl w:val="ED1AB43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B900E4E"/>
    <w:multiLevelType w:val="multilevel"/>
    <w:tmpl w:val="97E22B3C"/>
    <w:lvl w:ilvl="0">
      <w:start w:val="5"/>
      <w:numFmt w:val="decimal"/>
      <w:lvlText w:val="%1"/>
      <w:lvlJc w:val="left"/>
      <w:pPr>
        <w:ind w:left="540" w:hanging="540"/>
      </w:pPr>
      <w:rPr>
        <w:rFonts w:hint="default"/>
      </w:rPr>
    </w:lvl>
    <w:lvl w:ilvl="1">
      <w:start w:val="2"/>
      <w:numFmt w:val="decimal"/>
      <w:lvlText w:val="4.%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4"/>
  </w:num>
  <w:num w:numId="3">
    <w:abstractNumId w:val="2"/>
  </w:num>
  <w:num w:numId="4">
    <w:abstractNumId w:val="5"/>
  </w:num>
  <w:num w:numId="5">
    <w:abstractNumId w:val="8"/>
  </w:num>
  <w:num w:numId="6">
    <w:abstractNumId w:val="1"/>
  </w:num>
  <w:num w:numId="7">
    <w:abstractNumId w:val="7"/>
  </w:num>
  <w:num w:numId="8">
    <w:abstractNumId w:val="10"/>
  </w:num>
  <w:num w:numId="9">
    <w:abstractNumId w:val="3"/>
  </w:num>
  <w:num w:numId="10">
    <w:abstractNumId w:val="9"/>
  </w:num>
  <w:num w:numId="1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38B"/>
    <w:rsid w:val="0000613F"/>
    <w:rsid w:val="000110FB"/>
    <w:rsid w:val="000137F7"/>
    <w:rsid w:val="000213A2"/>
    <w:rsid w:val="00024151"/>
    <w:rsid w:val="000366E4"/>
    <w:rsid w:val="00036834"/>
    <w:rsid w:val="0004323C"/>
    <w:rsid w:val="000612DE"/>
    <w:rsid w:val="00066DBF"/>
    <w:rsid w:val="00071FDE"/>
    <w:rsid w:val="0007699D"/>
    <w:rsid w:val="00082F01"/>
    <w:rsid w:val="00083B6E"/>
    <w:rsid w:val="00094434"/>
    <w:rsid w:val="000A254B"/>
    <w:rsid w:val="000A2B7B"/>
    <w:rsid w:val="000C05C6"/>
    <w:rsid w:val="000C3E29"/>
    <w:rsid w:val="000D0677"/>
    <w:rsid w:val="000E57D0"/>
    <w:rsid w:val="0010777E"/>
    <w:rsid w:val="00111BE1"/>
    <w:rsid w:val="001124D1"/>
    <w:rsid w:val="001134A9"/>
    <w:rsid w:val="001224B2"/>
    <w:rsid w:val="00133710"/>
    <w:rsid w:val="00165A31"/>
    <w:rsid w:val="00171845"/>
    <w:rsid w:val="001C7C78"/>
    <w:rsid w:val="001D3973"/>
    <w:rsid w:val="001E177F"/>
    <w:rsid w:val="001E55A9"/>
    <w:rsid w:val="001F787D"/>
    <w:rsid w:val="00212B38"/>
    <w:rsid w:val="00217299"/>
    <w:rsid w:val="00221962"/>
    <w:rsid w:val="002356FC"/>
    <w:rsid w:val="0026190B"/>
    <w:rsid w:val="002921B9"/>
    <w:rsid w:val="002A40D2"/>
    <w:rsid w:val="002C2C86"/>
    <w:rsid w:val="002D3098"/>
    <w:rsid w:val="002E06B8"/>
    <w:rsid w:val="002F0BD9"/>
    <w:rsid w:val="00307D30"/>
    <w:rsid w:val="00310C6B"/>
    <w:rsid w:val="003130DB"/>
    <w:rsid w:val="003173A1"/>
    <w:rsid w:val="00354719"/>
    <w:rsid w:val="003802EA"/>
    <w:rsid w:val="003825C5"/>
    <w:rsid w:val="00386963"/>
    <w:rsid w:val="00391917"/>
    <w:rsid w:val="003A1E11"/>
    <w:rsid w:val="003A37BC"/>
    <w:rsid w:val="003C1EB0"/>
    <w:rsid w:val="003C4829"/>
    <w:rsid w:val="003E1CF2"/>
    <w:rsid w:val="003E39BC"/>
    <w:rsid w:val="003E514D"/>
    <w:rsid w:val="003E56B3"/>
    <w:rsid w:val="004124EE"/>
    <w:rsid w:val="0041573B"/>
    <w:rsid w:val="00422A1E"/>
    <w:rsid w:val="00434700"/>
    <w:rsid w:val="004353A3"/>
    <w:rsid w:val="00456191"/>
    <w:rsid w:val="004569F4"/>
    <w:rsid w:val="00461697"/>
    <w:rsid w:val="004A12DA"/>
    <w:rsid w:val="004A3C04"/>
    <w:rsid w:val="004A799F"/>
    <w:rsid w:val="004E2084"/>
    <w:rsid w:val="00517AC8"/>
    <w:rsid w:val="00521596"/>
    <w:rsid w:val="00526A91"/>
    <w:rsid w:val="005449AA"/>
    <w:rsid w:val="005550F7"/>
    <w:rsid w:val="005604A6"/>
    <w:rsid w:val="00565C2E"/>
    <w:rsid w:val="0057408E"/>
    <w:rsid w:val="00595728"/>
    <w:rsid w:val="005A580A"/>
    <w:rsid w:val="005B5BC8"/>
    <w:rsid w:val="005C231F"/>
    <w:rsid w:val="005C61AF"/>
    <w:rsid w:val="005D7260"/>
    <w:rsid w:val="005F75C9"/>
    <w:rsid w:val="006043EF"/>
    <w:rsid w:val="006223E9"/>
    <w:rsid w:val="0062349D"/>
    <w:rsid w:val="0066163E"/>
    <w:rsid w:val="00672FAD"/>
    <w:rsid w:val="006B007E"/>
    <w:rsid w:val="006D1D1B"/>
    <w:rsid w:val="006D6237"/>
    <w:rsid w:val="006E77B7"/>
    <w:rsid w:val="006F31EB"/>
    <w:rsid w:val="00701CD7"/>
    <w:rsid w:val="00701EB5"/>
    <w:rsid w:val="007264C2"/>
    <w:rsid w:val="0073669E"/>
    <w:rsid w:val="007507BC"/>
    <w:rsid w:val="0076513E"/>
    <w:rsid w:val="00765803"/>
    <w:rsid w:val="007850A6"/>
    <w:rsid w:val="007913AC"/>
    <w:rsid w:val="007965DF"/>
    <w:rsid w:val="007B2D33"/>
    <w:rsid w:val="007B3DF8"/>
    <w:rsid w:val="007B5005"/>
    <w:rsid w:val="007B50BD"/>
    <w:rsid w:val="007C172B"/>
    <w:rsid w:val="007D1B2E"/>
    <w:rsid w:val="007E7F44"/>
    <w:rsid w:val="007F0C72"/>
    <w:rsid w:val="008022E6"/>
    <w:rsid w:val="008038E2"/>
    <w:rsid w:val="008115BD"/>
    <w:rsid w:val="0081169C"/>
    <w:rsid w:val="008126B3"/>
    <w:rsid w:val="00830D09"/>
    <w:rsid w:val="008A585F"/>
    <w:rsid w:val="008B6049"/>
    <w:rsid w:val="008C17A5"/>
    <w:rsid w:val="008E3571"/>
    <w:rsid w:val="008F5419"/>
    <w:rsid w:val="0090135A"/>
    <w:rsid w:val="00906F81"/>
    <w:rsid w:val="009133CC"/>
    <w:rsid w:val="00914B65"/>
    <w:rsid w:val="00927DFC"/>
    <w:rsid w:val="009674DA"/>
    <w:rsid w:val="009925CF"/>
    <w:rsid w:val="00994572"/>
    <w:rsid w:val="009A1E84"/>
    <w:rsid w:val="009A7E98"/>
    <w:rsid w:val="009D35E4"/>
    <w:rsid w:val="009D7F92"/>
    <w:rsid w:val="00A07E20"/>
    <w:rsid w:val="00A07FA6"/>
    <w:rsid w:val="00A10FBB"/>
    <w:rsid w:val="00A33679"/>
    <w:rsid w:val="00A45377"/>
    <w:rsid w:val="00A51710"/>
    <w:rsid w:val="00A54A87"/>
    <w:rsid w:val="00A56834"/>
    <w:rsid w:val="00A600E4"/>
    <w:rsid w:val="00A67DC4"/>
    <w:rsid w:val="00A70CC5"/>
    <w:rsid w:val="00A737B7"/>
    <w:rsid w:val="00A8688B"/>
    <w:rsid w:val="00A90124"/>
    <w:rsid w:val="00A95EF8"/>
    <w:rsid w:val="00A95F33"/>
    <w:rsid w:val="00A9699A"/>
    <w:rsid w:val="00AA08C0"/>
    <w:rsid w:val="00AB766B"/>
    <w:rsid w:val="00AD5473"/>
    <w:rsid w:val="00AD5B56"/>
    <w:rsid w:val="00AD6E01"/>
    <w:rsid w:val="00AF4C95"/>
    <w:rsid w:val="00B0138B"/>
    <w:rsid w:val="00B059B4"/>
    <w:rsid w:val="00B0676C"/>
    <w:rsid w:val="00B070CE"/>
    <w:rsid w:val="00B1404B"/>
    <w:rsid w:val="00B17C0B"/>
    <w:rsid w:val="00B53C29"/>
    <w:rsid w:val="00B54F52"/>
    <w:rsid w:val="00B630E8"/>
    <w:rsid w:val="00B67533"/>
    <w:rsid w:val="00B7512D"/>
    <w:rsid w:val="00B77749"/>
    <w:rsid w:val="00B86F04"/>
    <w:rsid w:val="00B96EC9"/>
    <w:rsid w:val="00BD306B"/>
    <w:rsid w:val="00BD718F"/>
    <w:rsid w:val="00BD7604"/>
    <w:rsid w:val="00BE52D2"/>
    <w:rsid w:val="00BE6625"/>
    <w:rsid w:val="00C348F6"/>
    <w:rsid w:val="00C40304"/>
    <w:rsid w:val="00C426F3"/>
    <w:rsid w:val="00C46086"/>
    <w:rsid w:val="00C50F81"/>
    <w:rsid w:val="00C611A7"/>
    <w:rsid w:val="00C62AF9"/>
    <w:rsid w:val="00C85069"/>
    <w:rsid w:val="00CA75E1"/>
    <w:rsid w:val="00CB24E2"/>
    <w:rsid w:val="00CB4DB6"/>
    <w:rsid w:val="00CC5987"/>
    <w:rsid w:val="00CD36CB"/>
    <w:rsid w:val="00CE3CF4"/>
    <w:rsid w:val="00CF1E9D"/>
    <w:rsid w:val="00D00A46"/>
    <w:rsid w:val="00D00F0C"/>
    <w:rsid w:val="00D405ED"/>
    <w:rsid w:val="00D53594"/>
    <w:rsid w:val="00D623E4"/>
    <w:rsid w:val="00D82EE1"/>
    <w:rsid w:val="00D84482"/>
    <w:rsid w:val="00D92E1C"/>
    <w:rsid w:val="00DA0BC5"/>
    <w:rsid w:val="00DA5316"/>
    <w:rsid w:val="00DB152B"/>
    <w:rsid w:val="00DC1439"/>
    <w:rsid w:val="00DD37F0"/>
    <w:rsid w:val="00DD6554"/>
    <w:rsid w:val="00DE082D"/>
    <w:rsid w:val="00DF2120"/>
    <w:rsid w:val="00DF3A88"/>
    <w:rsid w:val="00E06435"/>
    <w:rsid w:val="00E5591D"/>
    <w:rsid w:val="00E6672D"/>
    <w:rsid w:val="00E75CFB"/>
    <w:rsid w:val="00E81F15"/>
    <w:rsid w:val="00E962D5"/>
    <w:rsid w:val="00EE3D90"/>
    <w:rsid w:val="00F038E5"/>
    <w:rsid w:val="00F118E0"/>
    <w:rsid w:val="00F1390B"/>
    <w:rsid w:val="00F27644"/>
    <w:rsid w:val="00F35923"/>
    <w:rsid w:val="00F72A1A"/>
    <w:rsid w:val="00F73EA2"/>
    <w:rsid w:val="00F83648"/>
    <w:rsid w:val="00F84BA5"/>
    <w:rsid w:val="00F87013"/>
    <w:rsid w:val="00F94288"/>
    <w:rsid w:val="00FA21E2"/>
    <w:rsid w:val="00FB02BF"/>
    <w:rsid w:val="00FB48B6"/>
    <w:rsid w:val="00FB7D33"/>
    <w:rsid w:val="00FC0DCB"/>
    <w:rsid w:val="00FF3090"/>
    <w:rsid w:val="00FF57A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A6851"/>
  <w15:docId w15:val="{00363348-11AD-4342-9F26-CB0B5A45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 Proposal"/>
    <w:basedOn w:val="Normal"/>
    <w:next w:val="Normal"/>
    <w:link w:val="Heading1Char"/>
    <w:uiPriority w:val="9"/>
    <w:qFormat/>
    <w:rsid w:val="004746D5"/>
    <w:pPr>
      <w:keepNext/>
      <w:spacing w:before="240" w:after="60" w:line="240" w:lineRule="auto"/>
      <w:outlineLvl w:val="0"/>
    </w:pPr>
    <w:rPr>
      <w:rFonts w:ascii="Times New Roman" w:eastAsia="Times New Roman" w:hAnsi="Times New Roman" w:cs="Arial"/>
      <w:b/>
      <w:bCs/>
      <w:kern w:val="32"/>
      <w:sz w:val="24"/>
      <w:szCs w:val="32"/>
      <w:lang w:val="en-MY"/>
    </w:rPr>
  </w:style>
  <w:style w:type="paragraph" w:styleId="Heading2">
    <w:name w:val="heading 2"/>
    <w:basedOn w:val="Normal"/>
    <w:next w:val="Normal"/>
    <w:link w:val="Heading2Char"/>
    <w:unhideWhenUsed/>
    <w:qFormat/>
    <w:rsid w:val="00A95F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95F33"/>
    <w:pPr>
      <w:keepNext/>
      <w:keepLines/>
      <w:spacing w:after="0" w:line="480" w:lineRule="auto"/>
      <w:outlineLvl w:val="2"/>
    </w:pPr>
    <w:rPr>
      <w:rFonts w:asciiTheme="majorBidi" w:eastAsiaTheme="majorEastAsia" w:hAnsiTheme="majorBidi" w:cstheme="majorBidi"/>
      <w:b/>
      <w:bCs/>
      <w:sz w:val="24"/>
      <w:szCs w:val="24"/>
    </w:rPr>
  </w:style>
  <w:style w:type="paragraph" w:styleId="Heading4">
    <w:name w:val="heading 4"/>
    <w:basedOn w:val="Normal"/>
    <w:next w:val="Normal"/>
    <w:link w:val="Heading4Char"/>
    <w:unhideWhenUsed/>
    <w:qFormat/>
    <w:rsid w:val="00A95F33"/>
    <w:pPr>
      <w:keepNext/>
      <w:keepLines/>
      <w:spacing w:after="0" w:line="480" w:lineRule="auto"/>
      <w:outlineLvl w:val="3"/>
    </w:pPr>
    <w:rPr>
      <w:rFonts w:asciiTheme="majorBidi" w:eastAsiaTheme="majorEastAsia" w:hAnsiTheme="majorBidi" w:cstheme="majorBidi"/>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A17"/>
    <w:rPr>
      <w:color w:val="0000FF" w:themeColor="hyperlink"/>
      <w:u w:val="single"/>
    </w:rPr>
  </w:style>
  <w:style w:type="paragraph" w:styleId="ListParagraph">
    <w:name w:val="List Paragraph"/>
    <w:basedOn w:val="Normal"/>
    <w:uiPriority w:val="34"/>
    <w:qFormat/>
    <w:rsid w:val="008E6A17"/>
    <w:pPr>
      <w:ind w:left="720"/>
      <w:contextualSpacing/>
    </w:pPr>
  </w:style>
  <w:style w:type="paragraph" w:customStyle="1" w:styleId="Default">
    <w:name w:val="Default"/>
    <w:rsid w:val="00866AA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F68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semiHidden/>
    <w:unhideWhenUsed/>
    <w:rsid w:val="00E167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763"/>
    <w:rPr>
      <w:rFonts w:ascii="Tahoma" w:hAnsi="Tahoma" w:cs="Tahoma"/>
      <w:sz w:val="16"/>
      <w:szCs w:val="16"/>
    </w:rPr>
  </w:style>
  <w:style w:type="paragraph" w:styleId="Caption">
    <w:name w:val="caption"/>
    <w:basedOn w:val="Normal"/>
    <w:next w:val="Normal"/>
    <w:unhideWhenUsed/>
    <w:qFormat/>
    <w:rsid w:val="008D4D43"/>
    <w:pPr>
      <w:spacing w:line="240" w:lineRule="auto"/>
    </w:pPr>
    <w:rPr>
      <w:b/>
      <w:bCs/>
      <w:color w:val="4F81BD" w:themeColor="accent1"/>
      <w:sz w:val="18"/>
      <w:szCs w:val="18"/>
    </w:rPr>
  </w:style>
  <w:style w:type="table" w:customStyle="1" w:styleId="LightList1">
    <w:name w:val="Light List1"/>
    <w:basedOn w:val="TableNormal"/>
    <w:uiPriority w:val="61"/>
    <w:rsid w:val="00835C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pple-converted-space">
    <w:name w:val="apple-converted-space"/>
    <w:basedOn w:val="DefaultParagraphFont"/>
    <w:rsid w:val="00367A61"/>
  </w:style>
  <w:style w:type="character" w:customStyle="1" w:styleId="Heading1Char">
    <w:name w:val="Heading 1 Char"/>
    <w:aliases w:val="Heading 1 Proposal Char"/>
    <w:basedOn w:val="DefaultParagraphFont"/>
    <w:link w:val="Heading1"/>
    <w:uiPriority w:val="9"/>
    <w:rsid w:val="004746D5"/>
    <w:rPr>
      <w:rFonts w:ascii="Times New Roman" w:eastAsia="Times New Roman" w:hAnsi="Times New Roman" w:cs="Arial"/>
      <w:b/>
      <w:bCs/>
      <w:kern w:val="32"/>
      <w:sz w:val="24"/>
      <w:szCs w:val="32"/>
      <w:lang w:val="en-MY"/>
    </w:rPr>
  </w:style>
  <w:style w:type="paragraph" w:styleId="FootnoteText">
    <w:name w:val="footnote text"/>
    <w:basedOn w:val="Normal"/>
    <w:link w:val="FootnoteTextChar"/>
    <w:semiHidden/>
    <w:unhideWhenUsed/>
    <w:rsid w:val="008A5AE0"/>
    <w:pPr>
      <w:spacing w:after="0" w:line="240" w:lineRule="auto"/>
    </w:pPr>
    <w:rPr>
      <w:sz w:val="20"/>
      <w:szCs w:val="20"/>
    </w:rPr>
  </w:style>
  <w:style w:type="character" w:customStyle="1" w:styleId="FootnoteTextChar">
    <w:name w:val="Footnote Text Char"/>
    <w:basedOn w:val="DefaultParagraphFont"/>
    <w:link w:val="FootnoteText"/>
    <w:semiHidden/>
    <w:rsid w:val="008A5AE0"/>
    <w:rPr>
      <w:sz w:val="20"/>
      <w:szCs w:val="20"/>
    </w:rPr>
  </w:style>
  <w:style w:type="character" w:styleId="FootnoteReference">
    <w:name w:val="footnote reference"/>
    <w:basedOn w:val="DefaultParagraphFont"/>
    <w:semiHidden/>
    <w:unhideWhenUsed/>
    <w:rsid w:val="008A5AE0"/>
    <w:rPr>
      <w:vertAlign w:val="superscript"/>
    </w:rPr>
  </w:style>
  <w:style w:type="paragraph" w:styleId="Header">
    <w:name w:val="header"/>
    <w:basedOn w:val="Normal"/>
    <w:link w:val="HeaderChar"/>
    <w:unhideWhenUsed/>
    <w:rsid w:val="00D22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DB2"/>
  </w:style>
  <w:style w:type="paragraph" w:styleId="Footer">
    <w:name w:val="footer"/>
    <w:basedOn w:val="Normal"/>
    <w:link w:val="FooterChar"/>
    <w:uiPriority w:val="99"/>
    <w:unhideWhenUsed/>
    <w:rsid w:val="00D22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DB2"/>
  </w:style>
  <w:style w:type="character" w:styleId="HTMLCite">
    <w:name w:val="HTML Cite"/>
    <w:basedOn w:val="DefaultParagraphFont"/>
    <w:uiPriority w:val="99"/>
    <w:semiHidden/>
    <w:unhideWhenUsed/>
    <w:rsid w:val="00016547"/>
    <w:rPr>
      <w:i/>
      <w:iC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rPr>
      <w:sz w:val="20"/>
      <w:szCs w:val="20"/>
    </w:rPr>
  </w:style>
  <w:style w:type="character" w:styleId="FollowedHyperlink">
    <w:name w:val="FollowedHyperlink"/>
    <w:basedOn w:val="DefaultParagraphFont"/>
    <w:uiPriority w:val="99"/>
    <w:semiHidden/>
    <w:unhideWhenUsed/>
    <w:rsid w:val="00565C2E"/>
    <w:rPr>
      <w:color w:val="800080" w:themeColor="followedHyperlink"/>
      <w:u w:val="single"/>
    </w:rPr>
  </w:style>
  <w:style w:type="character" w:customStyle="1" w:styleId="Heading2Char">
    <w:name w:val="Heading 2 Char"/>
    <w:basedOn w:val="DefaultParagraphFont"/>
    <w:link w:val="Heading2"/>
    <w:rsid w:val="00A95F3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95F33"/>
    <w:rPr>
      <w:rFonts w:asciiTheme="majorBidi" w:eastAsiaTheme="majorEastAsia" w:hAnsiTheme="majorBidi" w:cstheme="majorBidi"/>
      <w:b/>
      <w:bCs/>
      <w:sz w:val="24"/>
      <w:szCs w:val="24"/>
    </w:rPr>
  </w:style>
  <w:style w:type="character" w:customStyle="1" w:styleId="Heading4Char">
    <w:name w:val="Heading 4 Char"/>
    <w:basedOn w:val="DefaultParagraphFont"/>
    <w:link w:val="Heading4"/>
    <w:rsid w:val="00A95F33"/>
    <w:rPr>
      <w:rFonts w:asciiTheme="majorBidi" w:eastAsiaTheme="majorEastAsia" w:hAnsiTheme="majorBidi" w:cstheme="majorBidi"/>
      <w:bCs/>
      <w:iCs/>
      <w:sz w:val="24"/>
      <w:szCs w:val="24"/>
    </w:rPr>
  </w:style>
  <w:style w:type="numbering" w:customStyle="1" w:styleId="NoList1">
    <w:name w:val="No List1"/>
    <w:next w:val="NoList"/>
    <w:uiPriority w:val="99"/>
    <w:semiHidden/>
    <w:unhideWhenUsed/>
    <w:rsid w:val="00A95F33"/>
  </w:style>
  <w:style w:type="table" w:customStyle="1" w:styleId="TableGrid1">
    <w:name w:val="Table Grid1"/>
    <w:basedOn w:val="TableNormal"/>
    <w:next w:val="TableGrid"/>
    <w:rsid w:val="00A95F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95F33"/>
  </w:style>
  <w:style w:type="paragraph" w:styleId="Title">
    <w:name w:val="Title"/>
    <w:basedOn w:val="Normal"/>
    <w:next w:val="Normal"/>
    <w:link w:val="TitleChar"/>
    <w:qFormat/>
    <w:rsid w:val="00A95F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95F33"/>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A95F33"/>
    <w:pPr>
      <w:spacing w:before="100" w:beforeAutospacing="1" w:after="100" w:afterAutospacing="1" w:line="240" w:lineRule="auto"/>
    </w:pPr>
    <w:rPr>
      <w:rFonts w:ascii="Times New Roman" w:hAnsi="Times New Roman" w:cs="Times New Roman"/>
      <w:sz w:val="24"/>
      <w:szCs w:val="24"/>
      <w:lang w:val="en-MY" w:eastAsia="en-MY"/>
    </w:rPr>
  </w:style>
  <w:style w:type="character" w:styleId="Strong">
    <w:name w:val="Strong"/>
    <w:basedOn w:val="DefaultParagraphFont"/>
    <w:rsid w:val="00A95F33"/>
    <w:rPr>
      <w:b/>
      <w:bCs/>
    </w:rPr>
  </w:style>
  <w:style w:type="paragraph" w:styleId="Subtitle">
    <w:name w:val="Subtitle"/>
    <w:basedOn w:val="Normal"/>
    <w:next w:val="Normal"/>
    <w:link w:val="SubtitleChar"/>
    <w:qFormat/>
    <w:rsid w:val="00A95F33"/>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95F33"/>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rsid w:val="00A95F33"/>
    <w:pPr>
      <w:spacing w:after="0" w:line="240" w:lineRule="auto"/>
    </w:pPr>
    <w:rPr>
      <w:rFonts w:asciiTheme="majorBidi" w:eastAsia="Times New Roman" w:hAnsiTheme="majorBidi" w:cs="Times New Roman"/>
      <w:sz w:val="24"/>
      <w:szCs w:val="24"/>
    </w:rPr>
  </w:style>
  <w:style w:type="character" w:styleId="BookTitle">
    <w:name w:val="Book Title"/>
    <w:basedOn w:val="DefaultParagraphFont"/>
    <w:uiPriority w:val="33"/>
    <w:qFormat/>
    <w:rsid w:val="00A95F33"/>
    <w:rPr>
      <w:b/>
      <w:bCs/>
      <w:smallCaps/>
      <w:spacing w:val="5"/>
    </w:rPr>
  </w:style>
  <w:style w:type="paragraph" w:styleId="TOCHeading">
    <w:name w:val="TOC Heading"/>
    <w:basedOn w:val="Heading1"/>
    <w:next w:val="Normal"/>
    <w:uiPriority w:val="39"/>
    <w:unhideWhenUsed/>
    <w:qFormat/>
    <w:rsid w:val="00A95F3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rsid w:val="00A95F33"/>
    <w:pPr>
      <w:tabs>
        <w:tab w:val="right" w:leader="dot" w:pos="8324"/>
      </w:tabs>
      <w:spacing w:before="240" w:after="0" w:line="240" w:lineRule="auto"/>
      <w:ind w:left="851" w:hanging="851"/>
    </w:pPr>
    <w:rPr>
      <w:rFonts w:asciiTheme="majorBidi" w:eastAsia="Times New Roman" w:hAnsiTheme="majorBidi" w:cs="Times New Roman"/>
      <w:b/>
      <w:bCs/>
      <w:noProof/>
      <w:sz w:val="24"/>
      <w:szCs w:val="24"/>
    </w:rPr>
  </w:style>
  <w:style w:type="paragraph" w:styleId="TOC2">
    <w:name w:val="toc 2"/>
    <w:basedOn w:val="Normal"/>
    <w:next w:val="Normal"/>
    <w:autoRedefine/>
    <w:uiPriority w:val="39"/>
    <w:rsid w:val="00A95F33"/>
    <w:pPr>
      <w:tabs>
        <w:tab w:val="left" w:pos="851"/>
        <w:tab w:val="right" w:leader="dot" w:pos="8324"/>
      </w:tabs>
      <w:spacing w:after="100"/>
      <w:ind w:left="851" w:hanging="611"/>
    </w:pPr>
    <w:rPr>
      <w:rFonts w:asciiTheme="majorBidi" w:eastAsia="Times New Roman" w:hAnsiTheme="majorBidi" w:cs="Times New Roman"/>
      <w:sz w:val="24"/>
      <w:szCs w:val="24"/>
    </w:rPr>
  </w:style>
  <w:style w:type="paragraph" w:styleId="TOC3">
    <w:name w:val="toc 3"/>
    <w:basedOn w:val="Normal"/>
    <w:next w:val="Normal"/>
    <w:autoRedefine/>
    <w:uiPriority w:val="39"/>
    <w:rsid w:val="00A95F33"/>
    <w:pPr>
      <w:spacing w:after="100" w:line="240" w:lineRule="auto"/>
      <w:ind w:left="480"/>
    </w:pPr>
    <w:rPr>
      <w:rFonts w:asciiTheme="majorBidi" w:eastAsia="Times New Roman" w:hAnsiTheme="majorBidi" w:cs="Times New Roman"/>
      <w:sz w:val="24"/>
      <w:szCs w:val="24"/>
    </w:rPr>
  </w:style>
  <w:style w:type="paragraph" w:styleId="HTMLPreformatted">
    <w:name w:val="HTML Preformatted"/>
    <w:basedOn w:val="Normal"/>
    <w:link w:val="HTMLPreformattedChar"/>
    <w:uiPriority w:val="99"/>
    <w:unhideWhenUsed/>
    <w:rsid w:val="00A95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ms-MY" w:eastAsia="ms-MY"/>
    </w:rPr>
  </w:style>
  <w:style w:type="character" w:customStyle="1" w:styleId="HTMLPreformattedChar">
    <w:name w:val="HTML Preformatted Char"/>
    <w:basedOn w:val="DefaultParagraphFont"/>
    <w:link w:val="HTMLPreformatted"/>
    <w:uiPriority w:val="99"/>
    <w:rsid w:val="00A95F33"/>
    <w:rPr>
      <w:rFonts w:ascii="Courier New" w:eastAsia="Times New Roman" w:hAnsi="Courier New" w:cs="Courier New"/>
      <w:sz w:val="20"/>
      <w:szCs w:val="20"/>
      <w:lang w:val="ms-MY" w:eastAsia="ms-MY"/>
    </w:rPr>
  </w:style>
  <w:style w:type="paragraph" w:styleId="CommentSubject">
    <w:name w:val="annotation subject"/>
    <w:basedOn w:val="CommentText"/>
    <w:next w:val="CommentText"/>
    <w:link w:val="CommentSubjectChar"/>
    <w:semiHidden/>
    <w:unhideWhenUsed/>
    <w:rsid w:val="00A95F33"/>
    <w:pPr>
      <w:spacing w:after="0"/>
    </w:pPr>
    <w:rPr>
      <w:rFonts w:asciiTheme="majorBidi" w:eastAsia="Times New Roman" w:hAnsiTheme="majorBidi" w:cs="Times New Roman"/>
      <w:b/>
      <w:bCs/>
    </w:rPr>
  </w:style>
  <w:style w:type="character" w:customStyle="1" w:styleId="CommentSubjectChar">
    <w:name w:val="Comment Subject Char"/>
    <w:basedOn w:val="CommentTextChar"/>
    <w:link w:val="CommentSubject"/>
    <w:semiHidden/>
    <w:rsid w:val="00A95F33"/>
    <w:rPr>
      <w:rFonts w:asciiTheme="majorBidi" w:eastAsia="Times New Roman" w:hAnsiTheme="majorBidi" w:cs="Times New Roman"/>
      <w:b/>
      <w:bCs/>
      <w:sz w:val="20"/>
      <w:szCs w:val="20"/>
    </w:rPr>
  </w:style>
  <w:style w:type="character" w:styleId="UnresolvedMention">
    <w:name w:val="Unresolved Mention"/>
    <w:basedOn w:val="DefaultParagraphFont"/>
    <w:uiPriority w:val="99"/>
    <w:semiHidden/>
    <w:unhideWhenUsed/>
    <w:rsid w:val="007B3DF8"/>
    <w:rPr>
      <w:color w:val="808080"/>
      <w:shd w:val="clear" w:color="auto" w:fill="E6E6E6"/>
    </w:rPr>
  </w:style>
  <w:style w:type="table" w:customStyle="1" w:styleId="TableGrid2">
    <w:name w:val="Table Grid2"/>
    <w:basedOn w:val="TableNormal"/>
    <w:next w:val="TableGrid"/>
    <w:uiPriority w:val="59"/>
    <w:rsid w:val="002A40D2"/>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5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syahid@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penprairie.sdstate.edu/extension_extr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CE4BD-D29E-494E-A913-538037C32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5104</Words>
  <Characters>29095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adlina</dc:creator>
  <cp:lastModifiedBy>User</cp:lastModifiedBy>
  <cp:revision>2</cp:revision>
  <cp:lastPrinted>2016-06-28T07:51:00Z</cp:lastPrinted>
  <dcterms:created xsi:type="dcterms:W3CDTF">2018-01-31T01:20:00Z</dcterms:created>
  <dcterms:modified xsi:type="dcterms:W3CDTF">2018-01-31T01:20:00Z</dcterms:modified>
</cp:coreProperties>
</file>